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7B" w:rsidRDefault="000A427B" w:rsidP="00CB0252">
      <w:pPr>
        <w:spacing w:after="0" w:line="240" w:lineRule="auto"/>
      </w:pPr>
      <w:bookmarkStart w:id="0" w:name="_GoBack"/>
      <w:bookmarkEnd w:id="0"/>
    </w:p>
    <w:p w:rsidR="00CB0252" w:rsidRPr="00E920BD" w:rsidRDefault="00CB0252" w:rsidP="00CB0252">
      <w:pPr>
        <w:spacing w:after="0" w:line="240" w:lineRule="auto"/>
        <w:rPr>
          <w:b/>
          <w:sz w:val="24"/>
          <w:szCs w:val="24"/>
        </w:rPr>
      </w:pPr>
      <w:r w:rsidRPr="00E920BD">
        <w:rPr>
          <w:b/>
          <w:sz w:val="24"/>
          <w:szCs w:val="24"/>
        </w:rPr>
        <w:t>OVERVIEW</w:t>
      </w:r>
    </w:p>
    <w:p w:rsidR="00CB0252" w:rsidRDefault="00CB0252" w:rsidP="00CB0252">
      <w:pPr>
        <w:spacing w:after="0" w:line="240" w:lineRule="auto"/>
      </w:pPr>
    </w:p>
    <w:p w:rsidR="00CB0252" w:rsidRDefault="00135F56" w:rsidP="00CB0252">
      <w:pPr>
        <w:spacing w:after="0" w:line="240" w:lineRule="auto"/>
        <w:jc w:val="both"/>
      </w:pPr>
      <w:r>
        <w:t>For purposes of slowing the spread of COVID-19</w:t>
      </w:r>
      <w:r w:rsidR="00CB0252">
        <w:t xml:space="preserve">, state agencies were </w:t>
      </w:r>
      <w:r w:rsidR="00CF05E8">
        <w:t xml:space="preserve">initially </w:t>
      </w:r>
      <w:r w:rsidR="00CB0252">
        <w:t xml:space="preserve">encouraged </w:t>
      </w:r>
      <w:r w:rsidR="00081135">
        <w:t xml:space="preserve">in March 2020 </w:t>
      </w:r>
      <w:r>
        <w:t xml:space="preserve">to </w:t>
      </w:r>
      <w:r w:rsidR="00E4267F">
        <w:t>authorize</w:t>
      </w:r>
      <w:r>
        <w:t xml:space="preserve"> </w:t>
      </w:r>
      <w:r w:rsidR="00CF05E8">
        <w:t>employees to work from</w:t>
      </w:r>
      <w:r>
        <w:t xml:space="preserve"> home, to the extent possible. </w:t>
      </w:r>
      <w:r w:rsidR="00081135">
        <w:t>After several months</w:t>
      </w:r>
      <w:r>
        <w:t>, agencies were slowly able to return employees to their brick-and-mortar workplaces by i</w:t>
      </w:r>
      <w:r w:rsidR="00594BD9">
        <w:t>mplementing mitigating measures</w:t>
      </w:r>
      <w:r>
        <w:t xml:space="preserve"> such as:  facial coverings; social distancing; </w:t>
      </w:r>
      <w:r w:rsidR="00081135">
        <w:t xml:space="preserve">installation of </w:t>
      </w:r>
      <w:proofErr w:type="spellStart"/>
      <w:r w:rsidR="00081135">
        <w:t>plexiglass</w:t>
      </w:r>
      <w:proofErr w:type="spellEnd"/>
      <w:r w:rsidR="00081135">
        <w:t xml:space="preserve"> barriers; </w:t>
      </w:r>
      <w:r>
        <w:t xml:space="preserve">limiting in-person meetings; </w:t>
      </w:r>
      <w:r w:rsidR="00081135">
        <w:t xml:space="preserve">sanitizing high touch surfaces; </w:t>
      </w:r>
      <w:r w:rsidR="00F31C5F">
        <w:t xml:space="preserve">and, </w:t>
      </w:r>
      <w:r w:rsidR="00081135">
        <w:t>contact tracin</w:t>
      </w:r>
      <w:r w:rsidR="00594BD9">
        <w:t>g and quarantine protocols.</w:t>
      </w:r>
    </w:p>
    <w:p w:rsidR="00081135" w:rsidRDefault="00982069" w:rsidP="00CB0252">
      <w:pPr>
        <w:spacing w:after="0" w:line="240" w:lineRule="auto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4424045</wp:posOffset>
            </wp:positionH>
            <wp:positionV relativeFrom="paragraph">
              <wp:posOffset>126365</wp:posOffset>
            </wp:positionV>
            <wp:extent cx="151193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28" y="21390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_len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35" w:rsidRPr="00E920BD" w:rsidRDefault="00FD2186" w:rsidP="00CB0252">
      <w:pPr>
        <w:spacing w:after="0" w:line="240" w:lineRule="auto"/>
        <w:jc w:val="both"/>
        <w:rPr>
          <w:b/>
          <w:sz w:val="24"/>
          <w:szCs w:val="24"/>
        </w:rPr>
      </w:pPr>
      <w:r w:rsidRPr="00E920BD">
        <w:rPr>
          <w:b/>
          <w:sz w:val="24"/>
          <w:szCs w:val="24"/>
        </w:rPr>
        <w:t>APPLYING THE</w:t>
      </w:r>
      <w:r w:rsidR="00081135" w:rsidRPr="00E920BD">
        <w:rPr>
          <w:b/>
          <w:sz w:val="24"/>
          <w:szCs w:val="24"/>
        </w:rPr>
        <w:t xml:space="preserve"> ADA ACCOMMODATION </w:t>
      </w:r>
      <w:r w:rsidRPr="00E920BD">
        <w:rPr>
          <w:b/>
          <w:sz w:val="24"/>
          <w:szCs w:val="24"/>
        </w:rPr>
        <w:t>LENS</w:t>
      </w:r>
    </w:p>
    <w:p w:rsidR="00081135" w:rsidRDefault="00081135" w:rsidP="00CB0252">
      <w:pPr>
        <w:spacing w:after="0" w:line="240" w:lineRule="auto"/>
        <w:jc w:val="both"/>
        <w:rPr>
          <w:b/>
        </w:rPr>
      </w:pPr>
    </w:p>
    <w:p w:rsidR="00014E6A" w:rsidRDefault="00081135" w:rsidP="00E4267F">
      <w:pPr>
        <w:spacing w:after="0" w:line="240" w:lineRule="auto"/>
        <w:jc w:val="both"/>
      </w:pPr>
      <w:r>
        <w:t xml:space="preserve">Given the above, the most common request that employees now have related to COVID-19 is to telework from home. </w:t>
      </w:r>
      <w:r w:rsidR="00E4267F">
        <w:t>It is important to view such teleworking requests through the lens of an accommodation request in accordance with the Americans with Disabilities Act (ADA).</w:t>
      </w:r>
      <w:r w:rsidR="00014E6A">
        <w:t xml:space="preserve"> To conduct an appropriate analysis:</w:t>
      </w:r>
    </w:p>
    <w:p w:rsidR="00014E6A" w:rsidRDefault="00014E6A" w:rsidP="00E4267F">
      <w:pPr>
        <w:spacing w:after="0" w:line="240" w:lineRule="auto"/>
        <w:jc w:val="both"/>
      </w:pPr>
    </w:p>
    <w:p w:rsidR="00014E6A" w:rsidRDefault="00014E6A" w:rsidP="00014E6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696E67">
        <w:rPr>
          <w:b/>
        </w:rPr>
        <w:t>Determine whether the employee has a condition that qualifies under the ADA as a disability.</w:t>
      </w:r>
      <w:r w:rsidR="006B169A" w:rsidRPr="00803B2C">
        <w:rPr>
          <w:rStyle w:val="FootnoteReference"/>
          <w:b/>
        </w:rPr>
        <w:footnoteReference w:id="1"/>
      </w:r>
      <w:r w:rsidR="007E58B8" w:rsidRPr="00803B2C">
        <w:rPr>
          <w:b/>
        </w:rPr>
        <w:t xml:space="preserve"> </w:t>
      </w:r>
      <w:r w:rsidR="007E58B8">
        <w:t xml:space="preserve"> </w:t>
      </w:r>
      <w:r w:rsidR="00696E67">
        <w:t>If no, the employee is not a “qualified” individual under the ADA and thus</w:t>
      </w:r>
      <w:r w:rsidR="00280819">
        <w:t>,</w:t>
      </w:r>
      <w:r w:rsidR="00696E67">
        <w:t xml:space="preserve"> the agency is not requir</w:t>
      </w:r>
      <w:r w:rsidR="007E58B8">
        <w:t>ed to accommodate the employee.</w:t>
      </w:r>
    </w:p>
    <w:p w:rsidR="00E4267F" w:rsidRPr="00696E67" w:rsidRDefault="00014E6A" w:rsidP="00014E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696E67">
        <w:rPr>
          <w:b/>
        </w:rPr>
        <w:t>If so, determine what accommodations can be provided.</w:t>
      </w:r>
    </w:p>
    <w:p w:rsidR="00627991" w:rsidRDefault="00627991" w:rsidP="0062799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For purposes of evaluating teleworking as an accommodation, is the employee’</w:t>
      </w:r>
      <w:r w:rsidR="007E58B8">
        <w:t>s job</w:t>
      </w:r>
      <w:r w:rsidR="00594BD9">
        <w:t xml:space="preserve"> truly</w:t>
      </w:r>
      <w:r w:rsidR="007E58B8">
        <w:t xml:space="preserve"> conducive to such? </w:t>
      </w:r>
      <w:r>
        <w:t xml:space="preserve">How would productivity </w:t>
      </w:r>
      <w:r w:rsidR="007E58B8">
        <w:t xml:space="preserve">and accountability be ensured? </w:t>
      </w:r>
      <w:r>
        <w:t xml:space="preserve">Did the employee previously telework </w:t>
      </w:r>
      <w:r w:rsidR="007A1DEF">
        <w:t xml:space="preserve">related to the pandemic </w:t>
      </w:r>
      <w:r>
        <w:t xml:space="preserve">and, if so, was the employee able to satisfactorily perform all of the </w:t>
      </w:r>
      <w:r w:rsidR="00696E67">
        <w:t>essential functions of the job</w:t>
      </w:r>
      <w:r>
        <w:t>?</w:t>
      </w:r>
    </w:p>
    <w:p w:rsidR="00E93FB3" w:rsidRDefault="00627991" w:rsidP="002725B8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Consider whether other alternative accommodations would be equally effective</w:t>
      </w:r>
      <w:r w:rsidR="00E920BD">
        <w:t>. The Job Accommodation Network (JAN) has a helpful resource titled, “Accommodation Strategies for Returning to Work During the COVID-19 Pandemic</w:t>
      </w:r>
      <w:r w:rsidR="002725B8">
        <w:t>”</w:t>
      </w:r>
      <w:r w:rsidR="00E920BD">
        <w:t xml:space="preserve"> (</w:t>
      </w:r>
      <w:hyperlink r:id="rId9" w:history="1">
        <w:r w:rsidR="00E920BD" w:rsidRPr="00D47C20">
          <w:rPr>
            <w:rStyle w:val="Hyperlink"/>
          </w:rPr>
          <w:t>https://askjan.org/blogs/jan/2020/08/accommodation-strategies-for-returning-to-work-during-the-covid-19-pandemic.cfm</w:t>
        </w:r>
      </w:hyperlink>
      <w:r w:rsidR="00E920BD">
        <w:t>) that provides accommodation ideas related to limiting the risk of exposure to COVID-19, addressing physical distancing needs, and addressing communication needs.</w:t>
      </w:r>
    </w:p>
    <w:p w:rsidR="00627991" w:rsidRDefault="00627991" w:rsidP="00014E6A">
      <w:pPr>
        <w:spacing w:after="0" w:line="240" w:lineRule="auto"/>
        <w:jc w:val="both"/>
      </w:pPr>
    </w:p>
    <w:p w:rsidR="00854F9B" w:rsidRPr="00E920BD" w:rsidRDefault="00627991" w:rsidP="00014E6A">
      <w:pPr>
        <w:spacing w:after="0" w:line="240" w:lineRule="auto"/>
        <w:jc w:val="both"/>
        <w:rPr>
          <w:b/>
          <w:sz w:val="24"/>
          <w:szCs w:val="24"/>
        </w:rPr>
      </w:pPr>
      <w:r w:rsidRPr="00E920BD">
        <w:rPr>
          <w:b/>
          <w:sz w:val="24"/>
          <w:szCs w:val="24"/>
        </w:rPr>
        <w:t>EEOC GUIDANCE</w:t>
      </w:r>
    </w:p>
    <w:p w:rsidR="00854F9B" w:rsidRDefault="00854F9B" w:rsidP="00014E6A">
      <w:pPr>
        <w:spacing w:after="0" w:line="240" w:lineRule="auto"/>
        <w:jc w:val="both"/>
      </w:pPr>
    </w:p>
    <w:p w:rsidR="00E4267F" w:rsidRDefault="004B486D" w:rsidP="00E4267F">
      <w:pPr>
        <w:spacing w:after="0" w:line="240" w:lineRule="auto"/>
        <w:jc w:val="both"/>
      </w:pPr>
      <w:r>
        <w:t>While navigating through accommodation requests, it is important to apply the guidance provided by t</w:t>
      </w:r>
      <w:r w:rsidR="00854F9B">
        <w:t xml:space="preserve">he U.S. Equal Employment Opportunity Commission (EEOC), which </w:t>
      </w:r>
      <w:r>
        <w:t xml:space="preserve">oversees enforcement of the ADA. Recently, the EEOC </w:t>
      </w:r>
      <w:r w:rsidR="00854F9B">
        <w:t xml:space="preserve">issued, “What You Should Know </w:t>
      </w:r>
      <w:proofErr w:type="gramStart"/>
      <w:r w:rsidR="00854F9B">
        <w:t>About</w:t>
      </w:r>
      <w:proofErr w:type="gramEnd"/>
      <w:r w:rsidR="00854F9B">
        <w:t xml:space="preserve"> COVID-19 and the ADA, the Rehabilitation Act, </w:t>
      </w:r>
      <w:r w:rsidR="00854F9B">
        <w:lastRenderedPageBreak/>
        <w:t>and Other EEO Laws (</w:t>
      </w:r>
      <w:hyperlink r:id="rId10" w:history="1">
        <w:r w:rsidR="00854F9B" w:rsidRPr="003B31FA">
          <w:rPr>
            <w:rStyle w:val="Hyperlink"/>
          </w:rPr>
          <w:t>https://www.eeoc.gov/wysk/what-you-should-know-about-covid-19-and-ada-rehabilitation-act-and-other-eeo-laws</w:t>
        </w:r>
      </w:hyperlink>
      <w:r w:rsidR="00854F9B">
        <w:t>). Several important takeaways include:</w:t>
      </w:r>
    </w:p>
    <w:p w:rsidR="00854F9B" w:rsidRDefault="00854F9B" w:rsidP="00E4267F">
      <w:pPr>
        <w:spacing w:after="0" w:line="240" w:lineRule="auto"/>
        <w:jc w:val="both"/>
      </w:pPr>
    </w:p>
    <w:p w:rsidR="00854F9B" w:rsidRDefault="00E93FB3" w:rsidP="00854F9B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COVID-related accommodations </w:t>
      </w:r>
      <w:r w:rsidR="00696E67">
        <w:t>may</w:t>
      </w:r>
      <w:r>
        <w:t xml:space="preserve"> be approved on an interim or trial basis, with an end date, for purposes of responding to changes in the COVID environment and/or while awaiting receipt of medical documentation.</w:t>
      </w:r>
    </w:p>
    <w:p w:rsidR="00E93FB3" w:rsidRDefault="00E93FB3" w:rsidP="00854F9B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ADA does not require an employer to accommodate an employee </w:t>
      </w:r>
      <w:r w:rsidR="00594BD9">
        <w:t>who has no</w:t>
      </w:r>
      <w:r>
        <w:t xml:space="preserve"> disability based on the disability-related </w:t>
      </w:r>
      <w:r w:rsidR="00696E67">
        <w:t xml:space="preserve">(high risk) </w:t>
      </w:r>
      <w:r>
        <w:t xml:space="preserve">needs of a family member or other person with whom </w:t>
      </w:r>
      <w:r w:rsidR="00594BD9">
        <w:t>the employee resides</w:t>
      </w:r>
      <w:r>
        <w:t>.</w:t>
      </w:r>
    </w:p>
    <w:p w:rsidR="00696E67" w:rsidRDefault="00696E67" w:rsidP="00854F9B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fact that an employee may have been </w:t>
      </w:r>
      <w:r w:rsidR="004B486D">
        <w:t>temporarily</w:t>
      </w:r>
      <w:r>
        <w:t xml:space="preserve"> authorized to work from home due to COVID-19 does not automatically mean the agency </w:t>
      </w:r>
      <w:r w:rsidR="007E58B8">
        <w:t>is required</w:t>
      </w:r>
      <w:r>
        <w:t xml:space="preserve"> to grant teleworking a</w:t>
      </w:r>
      <w:r w:rsidR="007E58B8">
        <w:t xml:space="preserve">s a </w:t>
      </w:r>
      <w:r w:rsidR="00594BD9">
        <w:t xml:space="preserve">long-term or permanent </w:t>
      </w:r>
      <w:r w:rsidR="007E58B8">
        <w:t>accommodation.</w:t>
      </w:r>
    </w:p>
    <w:p w:rsidR="00E93FB3" w:rsidRDefault="007E58B8" w:rsidP="007E58B8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If there is no disability-related limitation that </w:t>
      </w:r>
      <w:r w:rsidR="00594BD9">
        <w:t>warrants</w:t>
      </w:r>
      <w:r>
        <w:t xml:space="preserve"> teleworking, the employee is not a “qualified” individual under the ADA and thus</w:t>
      </w:r>
      <w:r w:rsidR="00594BD9">
        <w:t>,</w:t>
      </w:r>
      <w:r>
        <w:t xml:space="preserve"> the agency is not required to accommodate the employee.</w:t>
      </w:r>
    </w:p>
    <w:p w:rsidR="007E58B8" w:rsidRDefault="007E58B8" w:rsidP="007E58B8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If the employee has a disability-related limitation</w:t>
      </w:r>
      <w:r w:rsidR="00594BD9">
        <w:t>,</w:t>
      </w:r>
      <w:r>
        <w:t xml:space="preserve"> but the agency can effectively address the need with another form of </w:t>
      </w:r>
      <w:r w:rsidR="00594BD9">
        <w:t>workplace</w:t>
      </w:r>
      <w:r>
        <w:t xml:space="preserve"> accommodation </w:t>
      </w:r>
      <w:r w:rsidR="00594BD9">
        <w:t>that is reasonable</w:t>
      </w:r>
      <w:r>
        <w:t>, the agency may choose that alternative to telework.</w:t>
      </w:r>
    </w:p>
    <w:p w:rsidR="00D2669D" w:rsidRDefault="00D2669D" w:rsidP="004E65D0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An employee’s vaccination status does not have a bearing on accommodation requests. When an employee asks for a reasonable accommodation, whether the employee is fully vaccinated or not, the agency should engage in the interactive process to determine if there is a disability-related need for reasonable accommodation.</w:t>
      </w:r>
    </w:p>
    <w:p w:rsidR="004E65D0" w:rsidRDefault="004E65D0" w:rsidP="004E65D0">
      <w:pPr>
        <w:spacing w:after="0" w:line="240" w:lineRule="auto"/>
        <w:jc w:val="both"/>
      </w:pPr>
    </w:p>
    <w:p w:rsidR="004B486D" w:rsidRDefault="004B486D" w:rsidP="004E65D0">
      <w:pPr>
        <w:spacing w:after="0" w:line="240" w:lineRule="auto"/>
        <w:jc w:val="both"/>
      </w:pPr>
      <w:r>
        <w:t>ADA Coordinators are encouraged to fully read the EEOC guidance for more information.</w:t>
      </w:r>
    </w:p>
    <w:p w:rsidR="004B486D" w:rsidRDefault="004B486D" w:rsidP="004E65D0">
      <w:pPr>
        <w:spacing w:after="0" w:line="240" w:lineRule="auto"/>
        <w:jc w:val="both"/>
      </w:pPr>
    </w:p>
    <w:p w:rsidR="004E65D0" w:rsidRDefault="002D2BB6" w:rsidP="004E65D0">
      <w:pPr>
        <w:spacing w:after="0" w:line="240" w:lineRule="auto"/>
        <w:jc w:val="both"/>
        <w:rPr>
          <w:b/>
        </w:rPr>
      </w:pPr>
      <w:r>
        <w:rPr>
          <w:b/>
        </w:rPr>
        <w:t>FURTHER ASSISTANCE</w:t>
      </w:r>
    </w:p>
    <w:p w:rsidR="002D2BB6" w:rsidRDefault="002D2BB6" w:rsidP="004E65D0">
      <w:pPr>
        <w:spacing w:after="0" w:line="240" w:lineRule="auto"/>
        <w:jc w:val="both"/>
        <w:rPr>
          <w:b/>
        </w:rPr>
      </w:pPr>
    </w:p>
    <w:p w:rsidR="002D2BB6" w:rsidRDefault="002D2BB6" w:rsidP="004E65D0">
      <w:pPr>
        <w:spacing w:after="0" w:line="240" w:lineRule="auto"/>
        <w:jc w:val="both"/>
      </w:pPr>
      <w:r>
        <w:t xml:space="preserve">For further assistance navigating the ADA in light of COVID-19, please feel free to contact Rikki Nicole David, State ADA Coordinator, at (225) 342-1243 or </w:t>
      </w:r>
      <w:hyperlink r:id="rId11" w:history="1">
        <w:r w:rsidRPr="00D47C20">
          <w:rPr>
            <w:rStyle w:val="Hyperlink"/>
          </w:rPr>
          <w:t>rikki.david2@la.gov</w:t>
        </w:r>
      </w:hyperlink>
      <w:r>
        <w:t>.</w:t>
      </w:r>
    </w:p>
    <w:p w:rsidR="002D2BB6" w:rsidRPr="002D2BB6" w:rsidRDefault="002D2BB6" w:rsidP="004E65D0">
      <w:pPr>
        <w:spacing w:after="0" w:line="240" w:lineRule="auto"/>
        <w:jc w:val="both"/>
      </w:pPr>
    </w:p>
    <w:sectPr w:rsidR="002D2BB6" w:rsidRPr="002D2BB6" w:rsidSect="0037622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AA" w:rsidRDefault="00FF18AA" w:rsidP="00FF18AA">
      <w:pPr>
        <w:spacing w:after="0" w:line="240" w:lineRule="auto"/>
      </w:pPr>
      <w:r>
        <w:separator/>
      </w:r>
    </w:p>
  </w:endnote>
  <w:endnote w:type="continuationSeparator" w:id="0">
    <w:p w:rsidR="00FF18AA" w:rsidRDefault="00FF18AA" w:rsidP="00F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8" w:rsidRDefault="00376222" w:rsidP="002725B8">
    <w:pPr>
      <w:pStyle w:val="Footer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DADC6" wp14:editId="0B2046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A023D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J2uAEAAMMDAAAOAAAAZHJzL2Uyb0RvYy54bWysU8GOEzEMvSPxD1HudKYLXc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CB0252" w:rsidRPr="00376222" w:rsidRDefault="00CB0252" w:rsidP="00CB0252">
    <w:pPr>
      <w:pStyle w:val="Footer"/>
      <w:jc w:val="center"/>
      <w:rPr>
        <w:sz w:val="18"/>
        <w:szCs w:val="18"/>
      </w:rPr>
    </w:pPr>
    <w:r w:rsidRPr="00376222">
      <w:rPr>
        <w:sz w:val="18"/>
        <w:szCs w:val="18"/>
      </w:rPr>
      <w:t xml:space="preserve"> </w:t>
    </w:r>
    <w:r w:rsidR="00376222" w:rsidRPr="00376222">
      <w:rPr>
        <w:sz w:val="18"/>
        <w:szCs w:val="18"/>
      </w:rPr>
      <w:t xml:space="preserve">Page </w:t>
    </w:r>
    <w:r w:rsidR="00376222" w:rsidRPr="00376222">
      <w:rPr>
        <w:sz w:val="18"/>
        <w:szCs w:val="18"/>
      </w:rPr>
      <w:fldChar w:fldCharType="begin"/>
    </w:r>
    <w:r w:rsidR="00376222" w:rsidRPr="00376222">
      <w:rPr>
        <w:sz w:val="18"/>
        <w:szCs w:val="18"/>
      </w:rPr>
      <w:instrText xml:space="preserve"> PAGE   \* MERGEFORMAT </w:instrText>
    </w:r>
    <w:r w:rsidR="00376222" w:rsidRPr="00376222">
      <w:rPr>
        <w:sz w:val="18"/>
        <w:szCs w:val="18"/>
      </w:rPr>
      <w:fldChar w:fldCharType="separate"/>
    </w:r>
    <w:r w:rsidR="00577121">
      <w:rPr>
        <w:noProof/>
        <w:sz w:val="18"/>
        <w:szCs w:val="18"/>
      </w:rPr>
      <w:t>2</w:t>
    </w:r>
    <w:r w:rsidR="00376222" w:rsidRPr="00376222">
      <w:rPr>
        <w:noProof/>
        <w:sz w:val="18"/>
        <w:szCs w:val="18"/>
      </w:rPr>
      <w:fldChar w:fldCharType="end"/>
    </w:r>
    <w:r w:rsidR="00376222" w:rsidRPr="00376222">
      <w:rPr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AA" w:rsidRDefault="00FF18AA" w:rsidP="00FF18AA">
      <w:pPr>
        <w:spacing w:after="0" w:line="240" w:lineRule="auto"/>
      </w:pPr>
      <w:r>
        <w:separator/>
      </w:r>
    </w:p>
  </w:footnote>
  <w:footnote w:type="continuationSeparator" w:id="0">
    <w:p w:rsidR="00FF18AA" w:rsidRDefault="00FF18AA" w:rsidP="00FF18AA">
      <w:pPr>
        <w:spacing w:after="0" w:line="240" w:lineRule="auto"/>
      </w:pPr>
      <w:r>
        <w:continuationSeparator/>
      </w:r>
    </w:p>
  </w:footnote>
  <w:footnote w:id="1">
    <w:p w:rsidR="00E06E4F" w:rsidRPr="00803B2C" w:rsidRDefault="006B169A" w:rsidP="00803B2C">
      <w:pPr>
        <w:pStyle w:val="Heading2"/>
        <w:shd w:val="clear" w:color="auto" w:fill="FFFFFF"/>
        <w:spacing w:before="200" w:beforeAutospacing="0" w:afterAutospacing="0"/>
        <w:rPr>
          <w:rFonts w:asciiTheme="minorHAnsi" w:hAnsiTheme="minorHAnsi" w:cs="Arial"/>
          <w:b w:val="0"/>
          <w:color w:val="000000"/>
          <w:sz w:val="18"/>
          <w:szCs w:val="18"/>
        </w:rPr>
      </w:pPr>
      <w:r w:rsidRPr="00E06E4F">
        <w:rPr>
          <w:rStyle w:val="FootnoteReference"/>
          <w:rFonts w:asciiTheme="minorHAnsi" w:hAnsiTheme="minorHAnsi"/>
          <w:b w:val="0"/>
          <w:sz w:val="18"/>
          <w:szCs w:val="18"/>
        </w:rPr>
        <w:footnoteRef/>
      </w:r>
      <w:r w:rsidRPr="00E06E4F">
        <w:rPr>
          <w:rFonts w:asciiTheme="minorHAnsi" w:hAnsiTheme="minorHAnsi"/>
          <w:b w:val="0"/>
          <w:sz w:val="18"/>
          <w:szCs w:val="18"/>
        </w:rPr>
        <w:t xml:space="preserve"> </w:t>
      </w:r>
      <w:r w:rsidR="00E06E4F" w:rsidRPr="00E06E4F">
        <w:rPr>
          <w:rFonts w:asciiTheme="minorHAnsi" w:hAnsiTheme="minorHAnsi"/>
          <w:b w:val="0"/>
          <w:sz w:val="18"/>
          <w:szCs w:val="18"/>
        </w:rPr>
        <w:t xml:space="preserve">Refer to 29 CFR </w:t>
      </w:r>
      <w:r w:rsidR="00E06E4F" w:rsidRPr="00E06E4F">
        <w:rPr>
          <w:rFonts w:asciiTheme="minorHAnsi" w:hAnsiTheme="minorHAnsi" w:cs="Arial"/>
          <w:b w:val="0"/>
          <w:color w:val="000000"/>
          <w:sz w:val="18"/>
          <w:szCs w:val="18"/>
        </w:rPr>
        <w:t>§</w:t>
      </w:r>
      <w:r w:rsidR="00803B2C">
        <w:rPr>
          <w:rFonts w:asciiTheme="minorHAnsi" w:hAnsiTheme="minorHAnsi" w:cs="Arial"/>
          <w:b w:val="0"/>
          <w:color w:val="000000"/>
          <w:sz w:val="18"/>
          <w:szCs w:val="18"/>
        </w:rPr>
        <w:t xml:space="preserve">1630.2 at </w:t>
      </w:r>
      <w:hyperlink r:id="rId1" w:history="1">
        <w:r w:rsidR="00803B2C" w:rsidRPr="00D47C20">
          <w:rPr>
            <w:rStyle w:val="Hyperlink"/>
            <w:rFonts w:asciiTheme="minorHAnsi" w:hAnsiTheme="minorHAnsi" w:cs="Arial"/>
            <w:b w:val="0"/>
            <w:sz w:val="18"/>
            <w:szCs w:val="18"/>
          </w:rPr>
          <w:t>https://www.ecfr.gov/cgi-bin/text-idx?node=pt29.4.1630&amp;rgn=div5</w:t>
        </w:r>
      </w:hyperlink>
      <w:r w:rsidR="00803B2C">
        <w:rPr>
          <w:rFonts w:asciiTheme="minorHAnsi" w:hAnsiTheme="minorHAnsi" w:cs="Arial"/>
          <w:b w:val="0"/>
          <w:color w:val="000000"/>
          <w:sz w:val="18"/>
          <w:szCs w:val="18"/>
        </w:rPr>
        <w:t xml:space="preserve"> for definitions of disability; physical or mental impairment; major life activities; and, substantially limits.  “Substantially limiting” is not meant to be a demanding standard.</w:t>
      </w:r>
      <w:r w:rsidR="00E06E4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AA" w:rsidRDefault="00FF18AA" w:rsidP="00FF18AA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19150" cy="819150"/>
          <wp:effectExtent l="0" t="0" r="0" b="0"/>
          <wp:wrapTight wrapText="bothSides">
            <wp:wrapPolygon edited="0">
              <wp:start x="6530" y="0"/>
              <wp:lineTo x="0" y="3014"/>
              <wp:lineTo x="0" y="17079"/>
              <wp:lineTo x="5526" y="21098"/>
              <wp:lineTo x="6530" y="21098"/>
              <wp:lineTo x="14567" y="21098"/>
              <wp:lineTo x="15572" y="21098"/>
              <wp:lineTo x="21098" y="17079"/>
              <wp:lineTo x="21098" y="3014"/>
              <wp:lineTo x="14567" y="0"/>
              <wp:lineTo x="653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67F">
      <w:rPr>
        <w:b/>
      </w:rPr>
      <w:t>Americans with Disabilities Act (ADA)</w:t>
    </w:r>
    <w:r>
      <w:rPr>
        <w:b/>
      </w:rPr>
      <w:t xml:space="preserve"> Resource Sheet</w:t>
    </w:r>
  </w:p>
  <w:p w:rsidR="00FF18AA" w:rsidRDefault="00D01E27" w:rsidP="00FF18AA">
    <w:pPr>
      <w:pStyle w:val="Header"/>
      <w:jc w:val="right"/>
    </w:pPr>
    <w:r>
      <w:t>Issued 8/19</w:t>
    </w:r>
    <w:r w:rsidR="00FF18AA" w:rsidRPr="00FF18AA">
      <w:t>/2021</w:t>
    </w:r>
  </w:p>
  <w:p w:rsidR="00FF18AA" w:rsidRDefault="00FF18AA" w:rsidP="00FF18AA">
    <w:pPr>
      <w:pStyle w:val="Header"/>
      <w:jc w:val="right"/>
    </w:pPr>
  </w:p>
  <w:p w:rsidR="00FF18AA" w:rsidRDefault="00FF18AA" w:rsidP="00FF18A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COVID-19</w:t>
    </w:r>
    <w:r w:rsidR="00CB0252">
      <w:rPr>
        <w:b/>
        <w:sz w:val="28"/>
        <w:szCs w:val="28"/>
      </w:rPr>
      <w:t xml:space="preserve"> and the ADA Interplay</w:t>
    </w:r>
  </w:p>
  <w:p w:rsidR="00FF18AA" w:rsidRPr="00FF18AA" w:rsidRDefault="00FF18AA" w:rsidP="00FF18AA">
    <w:pPr>
      <w:pStyle w:val="Header"/>
      <w:jc w:val="center"/>
      <w:rPr>
        <w:sz w:val="20"/>
        <w:szCs w:val="20"/>
      </w:rPr>
    </w:pPr>
  </w:p>
  <w:p w:rsidR="00FF18AA" w:rsidRPr="00FF18AA" w:rsidRDefault="00CB0252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20955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43DD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65pt" to="470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472"/>
    <w:multiLevelType w:val="hybridMultilevel"/>
    <w:tmpl w:val="9238D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F06EB"/>
    <w:multiLevelType w:val="hybridMultilevel"/>
    <w:tmpl w:val="4080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C7AAB"/>
    <w:multiLevelType w:val="hybridMultilevel"/>
    <w:tmpl w:val="179C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30F2"/>
    <w:multiLevelType w:val="hybridMultilevel"/>
    <w:tmpl w:val="D91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6676"/>
    <w:multiLevelType w:val="hybridMultilevel"/>
    <w:tmpl w:val="FB7E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820FE"/>
    <w:multiLevelType w:val="hybridMultilevel"/>
    <w:tmpl w:val="13589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73FB"/>
    <w:multiLevelType w:val="hybridMultilevel"/>
    <w:tmpl w:val="85DA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40E16"/>
    <w:multiLevelType w:val="hybridMultilevel"/>
    <w:tmpl w:val="26D4F9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44549F8"/>
    <w:multiLevelType w:val="hybridMultilevel"/>
    <w:tmpl w:val="B0E241D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431B2"/>
    <w:multiLevelType w:val="hybridMultilevel"/>
    <w:tmpl w:val="4AD06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A62498"/>
    <w:multiLevelType w:val="hybridMultilevel"/>
    <w:tmpl w:val="1E9CC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C7204"/>
    <w:multiLevelType w:val="hybridMultilevel"/>
    <w:tmpl w:val="CC94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ocumentProtection w:edit="readOnly" w:enforcement="1" w:cryptProviderType="rsaAES" w:cryptAlgorithmClass="hash" w:cryptAlgorithmType="typeAny" w:cryptAlgorithmSid="14" w:cryptSpinCount="100000" w:hash="HCfLa9gdkU60SrLJ7EWLLS9aO1e7CNHjZ1KtX/I//YZj8AGI3JCKDhWrAyEBRojAczmVj/0Z9RL+NTScnZDYBQ==" w:salt="RT3tagJywdgTH8GThe6b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A"/>
    <w:rsid w:val="00014E6A"/>
    <w:rsid w:val="00081135"/>
    <w:rsid w:val="000A427B"/>
    <w:rsid w:val="00135F56"/>
    <w:rsid w:val="002725B8"/>
    <w:rsid w:val="00280819"/>
    <w:rsid w:val="002D2BB6"/>
    <w:rsid w:val="00376222"/>
    <w:rsid w:val="003B20CB"/>
    <w:rsid w:val="004B486D"/>
    <w:rsid w:val="004E65D0"/>
    <w:rsid w:val="00577121"/>
    <w:rsid w:val="00594BD9"/>
    <w:rsid w:val="00627991"/>
    <w:rsid w:val="00696E67"/>
    <w:rsid w:val="006B169A"/>
    <w:rsid w:val="007A1DEF"/>
    <w:rsid w:val="007B0592"/>
    <w:rsid w:val="007E58B8"/>
    <w:rsid w:val="00803B2C"/>
    <w:rsid w:val="00854F9B"/>
    <w:rsid w:val="00982069"/>
    <w:rsid w:val="00B7541B"/>
    <w:rsid w:val="00CB0252"/>
    <w:rsid w:val="00CF05E8"/>
    <w:rsid w:val="00D01E27"/>
    <w:rsid w:val="00D2669D"/>
    <w:rsid w:val="00E06E4F"/>
    <w:rsid w:val="00E4267F"/>
    <w:rsid w:val="00E920BD"/>
    <w:rsid w:val="00E93FB3"/>
    <w:rsid w:val="00F31C5F"/>
    <w:rsid w:val="00FD2186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BA5751-91A0-401B-BAA7-47D7135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6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AA"/>
  </w:style>
  <w:style w:type="paragraph" w:styleId="Footer">
    <w:name w:val="footer"/>
    <w:basedOn w:val="Normal"/>
    <w:link w:val="FooterChar"/>
    <w:uiPriority w:val="99"/>
    <w:unhideWhenUsed/>
    <w:rsid w:val="00FF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AA"/>
  </w:style>
  <w:style w:type="character" w:styleId="Hyperlink">
    <w:name w:val="Hyperlink"/>
    <w:basedOn w:val="DefaultParagraphFont"/>
    <w:uiPriority w:val="99"/>
    <w:unhideWhenUsed/>
    <w:rsid w:val="00CB0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135"/>
    <w:pPr>
      <w:ind w:left="720"/>
      <w:contextualSpacing/>
    </w:pPr>
  </w:style>
  <w:style w:type="table" w:styleId="TableGrid">
    <w:name w:val="Table Grid"/>
    <w:basedOn w:val="TableNormal"/>
    <w:uiPriority w:val="39"/>
    <w:rsid w:val="007B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1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69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06E4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kki.david2@l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eoc.gov/wysk/what-you-should-know-about-covid-19-and-ada-rehabilitation-act-and-other-eeo-la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kjan.org/blogs/jan/2020/08/accommodation-strategies-for-returning-to-work-during-the-covid-19-pandemic.cf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fr.gov/cgi-bin/text-idx?node=pt29.4.1630&amp;rgn=div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5C39-5E8E-4A44-B977-CC8BF7C5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655</Words>
  <Characters>3740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Rikki David</cp:lastModifiedBy>
  <cp:revision>16</cp:revision>
  <cp:lastPrinted>2021-08-19T13:23:00Z</cp:lastPrinted>
  <dcterms:created xsi:type="dcterms:W3CDTF">2021-08-17T18:09:00Z</dcterms:created>
  <dcterms:modified xsi:type="dcterms:W3CDTF">2021-10-18T15:08:00Z</dcterms:modified>
</cp:coreProperties>
</file>