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87F8" w14:textId="56E9DFDC" w:rsidR="005436F2" w:rsidRDefault="005456CC">
      <w:pPr>
        <w:tabs>
          <w:tab w:val="left" w:pos="9852"/>
        </w:tabs>
        <w:spacing w:before="71"/>
        <w:ind w:left="461"/>
        <w:rPr>
          <w:rFonts w:ascii="Arial"/>
          <w:b/>
          <w:sz w:val="24"/>
        </w:rPr>
      </w:pPr>
      <w:r>
        <w:rPr>
          <w:rFonts w:ascii="Arial"/>
          <w:b/>
          <w:spacing w:val="7"/>
          <w:sz w:val="24"/>
          <w:shd w:val="clear" w:color="auto" w:fill="E1E3EB"/>
        </w:rPr>
        <w:t>D-17</w:t>
      </w:r>
      <w:r w:rsidR="000439D2">
        <w:rPr>
          <w:rFonts w:ascii="Arial"/>
          <w:b/>
          <w:spacing w:val="7"/>
          <w:sz w:val="24"/>
          <w:shd w:val="clear" w:color="auto" w:fill="E1E3EB"/>
        </w:rPr>
        <w:t xml:space="preserve">:  </w:t>
      </w:r>
      <w:r w:rsidR="000439D2">
        <w:rPr>
          <w:rFonts w:ascii="Arial"/>
          <w:b/>
          <w:spacing w:val="9"/>
          <w:sz w:val="24"/>
          <w:shd w:val="clear" w:color="auto" w:fill="E1E3EB"/>
        </w:rPr>
        <w:t xml:space="preserve">INTERGOVERNMENTAL </w:t>
      </w:r>
      <w:r w:rsidR="000439D2">
        <w:rPr>
          <w:rFonts w:ascii="Arial"/>
          <w:b/>
          <w:spacing w:val="8"/>
          <w:sz w:val="24"/>
          <w:shd w:val="clear" w:color="auto" w:fill="E1E3EB"/>
        </w:rPr>
        <w:t>COOPERATIVE</w:t>
      </w:r>
      <w:r w:rsidR="000439D2">
        <w:rPr>
          <w:rFonts w:ascii="Arial"/>
          <w:b/>
          <w:spacing w:val="42"/>
          <w:sz w:val="24"/>
          <w:shd w:val="clear" w:color="auto" w:fill="E1E3EB"/>
        </w:rPr>
        <w:t xml:space="preserve"> </w:t>
      </w:r>
      <w:r w:rsidR="000439D2">
        <w:rPr>
          <w:rFonts w:ascii="Arial"/>
          <w:b/>
          <w:spacing w:val="9"/>
          <w:sz w:val="24"/>
          <w:shd w:val="clear" w:color="auto" w:fill="E1E3EB"/>
        </w:rPr>
        <w:t>AGREEMENT</w:t>
      </w:r>
      <w:r w:rsidR="000439D2">
        <w:rPr>
          <w:rFonts w:ascii="Arial"/>
          <w:b/>
          <w:spacing w:val="9"/>
          <w:sz w:val="24"/>
          <w:shd w:val="clear" w:color="auto" w:fill="E1E3EB"/>
        </w:rPr>
        <w:tab/>
      </w:r>
    </w:p>
    <w:p w14:paraId="496A87F9" w14:textId="77777777" w:rsidR="005436F2" w:rsidRDefault="005436F2">
      <w:pPr>
        <w:pStyle w:val="BodyText"/>
        <w:rPr>
          <w:rFonts w:ascii="Arial"/>
          <w:b/>
          <w:sz w:val="26"/>
        </w:rPr>
      </w:pPr>
    </w:p>
    <w:p w14:paraId="496A87FA" w14:textId="77777777" w:rsidR="005436F2" w:rsidRDefault="005436F2">
      <w:pPr>
        <w:pStyle w:val="BodyText"/>
        <w:rPr>
          <w:rFonts w:ascii="Arial"/>
          <w:b/>
          <w:sz w:val="26"/>
        </w:rPr>
      </w:pPr>
    </w:p>
    <w:p w14:paraId="496A87FB" w14:textId="77777777" w:rsidR="005436F2" w:rsidRDefault="005436F2">
      <w:pPr>
        <w:pStyle w:val="BodyText"/>
        <w:rPr>
          <w:rFonts w:ascii="Arial"/>
          <w:b/>
          <w:sz w:val="26"/>
        </w:rPr>
      </w:pPr>
    </w:p>
    <w:p w14:paraId="496A87FC" w14:textId="77777777" w:rsidR="005436F2" w:rsidRDefault="005436F2">
      <w:pPr>
        <w:pStyle w:val="BodyText"/>
        <w:spacing w:before="7"/>
        <w:rPr>
          <w:rFonts w:ascii="Arial"/>
          <w:b/>
          <w:sz w:val="20"/>
        </w:rPr>
      </w:pPr>
    </w:p>
    <w:p w14:paraId="496A87FD" w14:textId="77777777" w:rsidR="005436F2" w:rsidRDefault="000439D2">
      <w:pPr>
        <w:ind w:left="2988"/>
        <w:rPr>
          <w:b/>
        </w:rPr>
      </w:pPr>
      <w:r>
        <w:rPr>
          <w:b/>
        </w:rPr>
        <w:t>INTERGOVERNMENTAL COOPERATIVE AGREEMENT</w:t>
      </w:r>
    </w:p>
    <w:p w14:paraId="496A87FE" w14:textId="77777777" w:rsidR="005436F2" w:rsidRDefault="005436F2">
      <w:pPr>
        <w:pStyle w:val="BodyText"/>
        <w:rPr>
          <w:b/>
        </w:rPr>
      </w:pPr>
    </w:p>
    <w:p w14:paraId="496A87FF" w14:textId="77777777" w:rsidR="005436F2" w:rsidRDefault="005436F2">
      <w:pPr>
        <w:pStyle w:val="BodyText"/>
        <w:rPr>
          <w:b/>
        </w:rPr>
      </w:pPr>
    </w:p>
    <w:p w14:paraId="496A8800" w14:textId="77777777" w:rsidR="005436F2" w:rsidRDefault="005436F2">
      <w:pPr>
        <w:pStyle w:val="BodyText"/>
        <w:spacing w:before="6"/>
        <w:rPr>
          <w:b/>
          <w:sz w:val="29"/>
        </w:rPr>
      </w:pPr>
    </w:p>
    <w:p w14:paraId="496A8801" w14:textId="77777777" w:rsidR="005436F2" w:rsidRDefault="000439D2">
      <w:pPr>
        <w:pStyle w:val="BodyText"/>
        <w:tabs>
          <w:tab w:val="left" w:pos="5596"/>
        </w:tabs>
        <w:ind w:left="470"/>
      </w:pPr>
      <w:r>
        <w:rPr>
          <w:position w:val="2"/>
        </w:rPr>
        <w:t>BY AND</w:t>
      </w:r>
      <w:r>
        <w:rPr>
          <w:spacing w:val="-2"/>
          <w:position w:val="2"/>
        </w:rPr>
        <w:t xml:space="preserve"> </w:t>
      </w:r>
      <w:r>
        <w:rPr>
          <w:position w:val="2"/>
        </w:rPr>
        <w:t>BETWEEN</w:t>
      </w:r>
      <w:r>
        <w:rPr>
          <w:spacing w:val="-2"/>
          <w:position w:val="2"/>
        </w:rPr>
        <w:t xml:space="preserve"> </w:t>
      </w:r>
      <w:r>
        <w:rPr>
          <w:position w:val="2"/>
        </w:rPr>
        <w:t>THE</w:t>
      </w:r>
      <w:r>
        <w:rPr>
          <w:position w:val="2"/>
        </w:rPr>
        <w:tab/>
      </w:r>
      <w:r>
        <w:t>STATE OF</w:t>
      </w:r>
      <w:r>
        <w:rPr>
          <w:spacing w:val="-6"/>
        </w:rPr>
        <w:t xml:space="preserve"> </w:t>
      </w:r>
      <w:r>
        <w:t>LOUISIANA</w:t>
      </w:r>
    </w:p>
    <w:p w14:paraId="496A8802" w14:textId="77777777" w:rsidR="005436F2" w:rsidRDefault="000439D2">
      <w:pPr>
        <w:pStyle w:val="BodyText"/>
        <w:tabs>
          <w:tab w:val="left" w:pos="9229"/>
        </w:tabs>
        <w:spacing w:before="165"/>
        <w:ind w:left="5599"/>
        <w:rPr>
          <w:rFonts w:ascii="Times New Roman"/>
        </w:rPr>
      </w:pPr>
      <w:r>
        <w:pict w14:anchorId="496A882A">
          <v:line id="_x0000_s2058" style="position:absolute;left:0;text-align:left;z-index:251653632;mso-position-horizontal-relative:page" from="68.5pt,20.35pt" to="243.95pt,20.35pt" strokeweight=".25292mm">
            <w10:wrap anchorx="page"/>
          </v:line>
        </w:pict>
      </w:r>
      <w:r>
        <w:t>PARISH OF</w:t>
      </w:r>
      <w:r>
        <w:rPr>
          <w:spacing w:val="-3"/>
        </w:rPr>
        <w:t xml:space="preserve"> </w:t>
      </w:r>
      <w:r>
        <w:rPr>
          <w:rFonts w:ascii="Times New Roman"/>
          <w:u w:val="single"/>
        </w:rPr>
        <w:t xml:space="preserve"> </w:t>
      </w:r>
      <w:r>
        <w:rPr>
          <w:rFonts w:ascii="Times New Roman"/>
          <w:u w:val="single"/>
        </w:rPr>
        <w:tab/>
      </w:r>
    </w:p>
    <w:p w14:paraId="496A8803" w14:textId="77777777" w:rsidR="005436F2" w:rsidRDefault="000439D2">
      <w:pPr>
        <w:pStyle w:val="BodyText"/>
        <w:spacing w:before="19" w:line="660" w:lineRule="auto"/>
        <w:ind w:left="470" w:right="6093"/>
      </w:pPr>
      <w:r>
        <w:pict w14:anchorId="496A882B">
          <v:line id="_x0000_s2057" style="position:absolute;left:0;text-align:left;z-index:-251654656;mso-position-horizontal-relative:page" from="68.5pt,72.55pt" to="232.9pt,72.55pt" strokeweight=".25292mm">
            <w10:wrap anchorx="page"/>
          </v:line>
        </w:pict>
      </w:r>
      <w:r>
        <w:t>(Name of Police Jury/Local Government) AND</w:t>
      </w:r>
    </w:p>
    <w:p w14:paraId="496A8804" w14:textId="77777777" w:rsidR="005436F2" w:rsidRDefault="000439D2">
      <w:pPr>
        <w:pStyle w:val="BodyText"/>
        <w:spacing w:before="3"/>
        <w:ind w:left="470"/>
      </w:pPr>
      <w:r>
        <w:t xml:space="preserve">(Political </w:t>
      </w:r>
      <w:r>
        <w:t>Subdivision/Special District)</w:t>
      </w:r>
    </w:p>
    <w:p w14:paraId="496A8805" w14:textId="77777777" w:rsidR="005436F2" w:rsidRDefault="005436F2">
      <w:pPr>
        <w:pStyle w:val="BodyText"/>
      </w:pPr>
    </w:p>
    <w:p w14:paraId="496A8806" w14:textId="77777777" w:rsidR="005436F2" w:rsidRDefault="005436F2">
      <w:pPr>
        <w:pStyle w:val="BodyText"/>
      </w:pPr>
    </w:p>
    <w:p w14:paraId="496A8807" w14:textId="77777777" w:rsidR="005436F2" w:rsidRDefault="005436F2">
      <w:pPr>
        <w:pStyle w:val="BodyText"/>
        <w:spacing w:before="3"/>
        <w:rPr>
          <w:sz w:val="31"/>
        </w:rPr>
      </w:pPr>
    </w:p>
    <w:p w14:paraId="496A8809" w14:textId="0C5D82B0" w:rsidR="005436F2" w:rsidRDefault="000439D2" w:rsidP="005456CC">
      <w:pPr>
        <w:pStyle w:val="BodyText"/>
        <w:tabs>
          <w:tab w:val="left" w:pos="4893"/>
          <w:tab w:val="left" w:pos="7029"/>
          <w:tab w:val="left" w:pos="7905"/>
        </w:tabs>
        <w:spacing w:before="1"/>
        <w:ind w:left="470"/>
        <w:jc w:val="both"/>
      </w:pPr>
      <w:r>
        <w:t>THIS AGREEMENT is entered into</w:t>
      </w:r>
      <w:r>
        <w:rPr>
          <w:spacing w:val="-9"/>
        </w:rPr>
        <w:t xml:space="preserve"> </w:t>
      </w:r>
      <w:r>
        <w:t>on</w:t>
      </w:r>
      <w:r>
        <w:rPr>
          <w:spacing w:val="-2"/>
        </w:rPr>
        <w:t xml:space="preserve"> </w:t>
      </w:r>
      <w:r>
        <w:t>this</w:t>
      </w:r>
      <w:r>
        <w:rPr>
          <w:rFonts w:ascii="Times New Roman"/>
          <w:u w:val="single"/>
        </w:rPr>
        <w:t xml:space="preserve"> </w:t>
      </w:r>
      <w:r>
        <w:rPr>
          <w:rFonts w:ascii="Times New Roman"/>
          <w:u w:val="single"/>
        </w:rPr>
        <w:tab/>
      </w:r>
      <w:r>
        <w:t>day</w:t>
      </w:r>
      <w:r>
        <w:rPr>
          <w:spacing w:val="-3"/>
        </w:rPr>
        <w:t xml:space="preserve"> </w:t>
      </w:r>
      <w:r>
        <w:t>of</w:t>
      </w:r>
      <w:r>
        <w:rPr>
          <w:rFonts w:ascii="Times New Roman"/>
          <w:u w:val="single"/>
        </w:rPr>
        <w:t xml:space="preserve"> </w:t>
      </w:r>
      <w:r>
        <w:rPr>
          <w:rFonts w:ascii="Times New Roman"/>
          <w:u w:val="single"/>
        </w:rPr>
        <w:tab/>
      </w:r>
      <w:r>
        <w:t>,</w:t>
      </w:r>
      <w:r>
        <w:rPr>
          <w:spacing w:val="-3"/>
        </w:rPr>
        <w:t xml:space="preserve"> </w:t>
      </w:r>
      <w:r>
        <w:t>20</w:t>
      </w:r>
      <w:r>
        <w:rPr>
          <w:rFonts w:ascii="Times New Roman"/>
          <w:u w:val="single"/>
        </w:rPr>
        <w:t xml:space="preserve"> </w:t>
      </w:r>
      <w:r>
        <w:rPr>
          <w:rFonts w:ascii="Times New Roman"/>
          <w:u w:val="single"/>
        </w:rPr>
        <w:tab/>
      </w:r>
      <w:r>
        <w:t>, by and</w:t>
      </w:r>
      <w:r>
        <w:rPr>
          <w:spacing w:val="-4"/>
        </w:rPr>
        <w:t xml:space="preserve"> </w:t>
      </w:r>
      <w:r>
        <w:t>between</w:t>
      </w:r>
      <w:r w:rsidR="005456CC">
        <w:t xml:space="preserve"> </w:t>
      </w:r>
      <w:r>
        <w:t xml:space="preserve">the </w:t>
      </w:r>
      <w:r w:rsidRPr="005456CC">
        <w:rPr>
          <w:highlight w:val="yellow"/>
        </w:rPr>
        <w:t>(name of UGLG)</w:t>
      </w:r>
      <w:r>
        <w:t>, a political subdivision of the State of Louisiana existing under the laws of the State of Louisiana, and as a unit of general local government is an eligible applicant/recipient of CDBG funds [24 CFR 570.480(g)] from the Office of Community Development–</w:t>
      </w:r>
      <w:r w:rsidR="00CE052D">
        <w:t>Local Government</w:t>
      </w:r>
      <w:r>
        <w:t xml:space="preserve"> </w:t>
      </w:r>
      <w:r w:rsidR="00CE052D">
        <w:t>Assistance (OCD-LGA)</w:t>
      </w:r>
      <w:r>
        <w:t>, and accordingly is authorized to exercise all necessary powers to carry out this program;</w:t>
      </w:r>
    </w:p>
    <w:p w14:paraId="496A880A" w14:textId="77777777" w:rsidR="005436F2" w:rsidRDefault="000439D2" w:rsidP="005456CC">
      <w:pPr>
        <w:pStyle w:val="BodyText"/>
        <w:spacing w:before="161"/>
        <w:ind w:left="470"/>
        <w:jc w:val="both"/>
      </w:pPr>
      <w:r>
        <w:t>And the [name of the special district] a political subdivision of the State that:</w:t>
      </w:r>
    </w:p>
    <w:p w14:paraId="496A880B" w14:textId="11C261E2" w:rsidR="005436F2" w:rsidRDefault="000439D2" w:rsidP="00CE052D">
      <w:pPr>
        <w:pStyle w:val="ListParagraph"/>
        <w:numPr>
          <w:ilvl w:val="0"/>
          <w:numId w:val="2"/>
        </w:numPr>
        <w:spacing w:before="182" w:after="120"/>
        <w:ind w:left="907"/>
        <w:jc w:val="both"/>
      </w:pPr>
      <w:r>
        <w:t>is not an eligible applicant/recipient of LCDBG funds from</w:t>
      </w:r>
      <w:r>
        <w:rPr>
          <w:spacing w:val="-26"/>
        </w:rPr>
        <w:t xml:space="preserve"> </w:t>
      </w:r>
      <w:r>
        <w:t>OCD/</w:t>
      </w:r>
      <w:r w:rsidR="00CE052D">
        <w:t>LGA</w:t>
      </w:r>
      <w:r>
        <w:t>,</w:t>
      </w:r>
    </w:p>
    <w:p w14:paraId="496A880C" w14:textId="77777777" w:rsidR="005436F2" w:rsidRDefault="000439D2" w:rsidP="00CE052D">
      <w:pPr>
        <w:pStyle w:val="ListParagraph"/>
        <w:numPr>
          <w:ilvl w:val="0"/>
          <w:numId w:val="2"/>
        </w:numPr>
        <w:spacing w:after="120"/>
        <w:ind w:left="907"/>
        <w:jc w:val="both"/>
      </w:pPr>
      <w:r>
        <w:t>does have jurisdiction over the service area of (the UGLG) CDBG</w:t>
      </w:r>
      <w:r>
        <w:rPr>
          <w:spacing w:val="-24"/>
        </w:rPr>
        <w:t xml:space="preserve"> </w:t>
      </w:r>
      <w:r>
        <w:t>project,</w:t>
      </w:r>
    </w:p>
    <w:p w14:paraId="496A880D" w14:textId="77777777" w:rsidR="005436F2" w:rsidRDefault="000439D2" w:rsidP="00CE052D">
      <w:pPr>
        <w:pStyle w:val="ListParagraph"/>
        <w:numPr>
          <w:ilvl w:val="0"/>
          <w:numId w:val="2"/>
        </w:numPr>
        <w:spacing w:after="120" w:line="259" w:lineRule="auto"/>
        <w:ind w:left="907" w:right="337" w:hanging="361"/>
        <w:jc w:val="both"/>
      </w:pPr>
      <w:r>
        <w:t>will provide all assistance to the [name of UGLG] necessary for their compliance with the LCDBG program including the provisions of 24 CFR</w:t>
      </w:r>
      <w:r>
        <w:rPr>
          <w:spacing w:val="-16"/>
        </w:rPr>
        <w:t xml:space="preserve"> </w:t>
      </w:r>
      <w:r>
        <w:t>570.483.</w:t>
      </w:r>
    </w:p>
    <w:p w14:paraId="496A880E" w14:textId="4ABEB277" w:rsidR="005436F2" w:rsidRDefault="000439D2" w:rsidP="00CE052D">
      <w:pPr>
        <w:pStyle w:val="BodyText"/>
        <w:spacing w:line="256" w:lineRule="auto"/>
        <w:ind w:left="469" w:right="30"/>
        <w:jc w:val="both"/>
      </w:pPr>
      <w:r>
        <w:t>The parties do hereby mutually agree to cooperate in the carrying out the eligible LCDBG activity as</w:t>
      </w:r>
      <w:r w:rsidR="00CE052D">
        <w:t xml:space="preserve"> </w:t>
      </w:r>
      <w:r>
        <w:t>proposed through this agreement concerning:</w:t>
      </w:r>
    </w:p>
    <w:p w14:paraId="496A880F" w14:textId="77777777" w:rsidR="005436F2" w:rsidRDefault="000439D2" w:rsidP="005456CC">
      <w:pPr>
        <w:pStyle w:val="BodyText"/>
        <w:spacing w:before="165"/>
        <w:ind w:left="470"/>
        <w:jc w:val="both"/>
      </w:pPr>
      <w:r>
        <w:t>RS: 33 §1324.</w:t>
      </w:r>
    </w:p>
    <w:p w14:paraId="496A8810" w14:textId="77777777" w:rsidR="005436F2" w:rsidRDefault="000439D2" w:rsidP="005456CC">
      <w:pPr>
        <w:pStyle w:val="ListParagraph"/>
        <w:numPr>
          <w:ilvl w:val="1"/>
          <w:numId w:val="2"/>
        </w:numPr>
        <w:tabs>
          <w:tab w:val="left" w:pos="816"/>
        </w:tabs>
        <w:spacing w:before="182" w:line="256" w:lineRule="auto"/>
        <w:ind w:right="540" w:firstLine="0"/>
        <w:jc w:val="both"/>
      </w:pPr>
      <w:r>
        <w:t>Public utility services, such as water, electricity, gas, roads, bridges, causeways, tunnels, ferries and other highway facilities, and public</w:t>
      </w:r>
      <w:r>
        <w:rPr>
          <w:spacing w:val="-21"/>
        </w:rPr>
        <w:t xml:space="preserve"> </w:t>
      </w:r>
      <w:r>
        <w:t>transportation.</w:t>
      </w:r>
    </w:p>
    <w:p w14:paraId="496A8811" w14:textId="77777777" w:rsidR="005436F2" w:rsidRDefault="000439D2" w:rsidP="005456CC">
      <w:pPr>
        <w:pStyle w:val="ListParagraph"/>
        <w:numPr>
          <w:ilvl w:val="1"/>
          <w:numId w:val="2"/>
        </w:numPr>
        <w:tabs>
          <w:tab w:val="left" w:pos="819"/>
        </w:tabs>
        <w:spacing w:before="161"/>
        <w:ind w:left="818" w:hanging="348"/>
        <w:jc w:val="both"/>
      </w:pPr>
      <w:r>
        <w:t>Sewers, drains and garbage and other refuse collection and</w:t>
      </w:r>
      <w:r>
        <w:rPr>
          <w:spacing w:val="-31"/>
        </w:rPr>
        <w:t xml:space="preserve"> </w:t>
      </w:r>
      <w:r>
        <w:t>disposal.</w:t>
      </w:r>
    </w:p>
    <w:p w14:paraId="496A8812" w14:textId="77777777" w:rsidR="005436F2" w:rsidRDefault="000439D2" w:rsidP="005456CC">
      <w:pPr>
        <w:pStyle w:val="BodyText"/>
        <w:spacing w:before="182" w:line="400" w:lineRule="auto"/>
        <w:ind w:left="470" w:right="311"/>
        <w:jc w:val="both"/>
      </w:pPr>
      <w:r>
        <w:t xml:space="preserve">(5) Recreational and educational facilities, such as playgrounds, recreation centers, </w:t>
      </w:r>
      <w:proofErr w:type="gramStart"/>
      <w:r>
        <w:t>parks</w:t>
      </w:r>
      <w:proofErr w:type="gramEnd"/>
      <w:r>
        <w:t xml:space="preserve"> and libraries. For such activities above as eligible under the LCDBG program</w:t>
      </w:r>
    </w:p>
    <w:p w14:paraId="496A8813" w14:textId="6EB4AF0E" w:rsidR="005436F2" w:rsidRDefault="000439D2" w:rsidP="005456CC">
      <w:pPr>
        <w:pStyle w:val="ListParagraph"/>
        <w:numPr>
          <w:ilvl w:val="0"/>
          <w:numId w:val="1"/>
        </w:numPr>
        <w:tabs>
          <w:tab w:val="left" w:pos="689"/>
        </w:tabs>
        <w:spacing w:before="2" w:line="259" w:lineRule="auto"/>
        <w:ind w:right="212" w:firstLine="0"/>
        <w:jc w:val="both"/>
      </w:pPr>
      <w:r>
        <w:t xml:space="preserve">The </w:t>
      </w:r>
      <w:r w:rsidRPr="0067285E">
        <w:rPr>
          <w:highlight w:val="yellow"/>
        </w:rPr>
        <w:t>(name of UGLG)</w:t>
      </w:r>
      <w:r>
        <w:t xml:space="preserve"> has applied for/received a Louisiana Community Development Block Grant to (describe project) for a service area under the jurisdiction of the special district. </w:t>
      </w:r>
      <w:proofErr w:type="gramStart"/>
      <w:r>
        <w:t>All of</w:t>
      </w:r>
      <w:proofErr w:type="gramEnd"/>
      <w:r>
        <w:t xml:space="preserve"> the said </w:t>
      </w:r>
      <w:proofErr w:type="gramStart"/>
      <w:r>
        <w:t>project is</w:t>
      </w:r>
      <w:proofErr w:type="gramEnd"/>
      <w:r>
        <w:t xml:space="preserve"> in the jurisdiction of the</w:t>
      </w:r>
      <w:r>
        <w:rPr>
          <w:spacing w:val="-11"/>
        </w:rPr>
        <w:t xml:space="preserve"> </w:t>
      </w:r>
      <w:r>
        <w:t>(</w:t>
      </w:r>
      <w:r w:rsidRPr="0067285E">
        <w:rPr>
          <w:highlight w:val="yellow"/>
        </w:rPr>
        <w:t>UGLG</w:t>
      </w:r>
      <w:r>
        <w:t>).</w:t>
      </w:r>
    </w:p>
    <w:p w14:paraId="496A8814" w14:textId="77777777" w:rsidR="005436F2" w:rsidRDefault="000439D2" w:rsidP="005456CC">
      <w:pPr>
        <w:pStyle w:val="ListParagraph"/>
        <w:numPr>
          <w:ilvl w:val="0"/>
          <w:numId w:val="1"/>
        </w:numPr>
        <w:tabs>
          <w:tab w:val="left" w:pos="689"/>
        </w:tabs>
        <w:spacing w:before="161" w:line="259" w:lineRule="auto"/>
        <w:ind w:right="214" w:firstLine="0"/>
        <w:jc w:val="both"/>
      </w:pPr>
      <w:r>
        <w:t>The (</w:t>
      </w:r>
      <w:r w:rsidRPr="0067285E">
        <w:rPr>
          <w:highlight w:val="yellow"/>
        </w:rPr>
        <w:t>name of UGLG</w:t>
      </w:r>
      <w:r>
        <w:t xml:space="preserve">) as the eligible recipient of CDBG funds does hereby assume responsibility for the proper administration, </w:t>
      </w:r>
      <w:proofErr w:type="gramStart"/>
      <w:r>
        <w:t>implementation</w:t>
      </w:r>
      <w:proofErr w:type="gramEnd"/>
      <w:r>
        <w:t xml:space="preserve"> and payment for the said project in conformity with and under the authority</w:t>
      </w:r>
      <w:r>
        <w:rPr>
          <w:spacing w:val="-1"/>
        </w:rPr>
        <w:t xml:space="preserve"> </w:t>
      </w:r>
      <w:r>
        <w:t>of</w:t>
      </w:r>
      <w:r>
        <w:rPr>
          <w:spacing w:val="-4"/>
        </w:rPr>
        <w:t xml:space="preserve"> </w:t>
      </w:r>
      <w:r>
        <w:t>the</w:t>
      </w:r>
      <w:r>
        <w:rPr>
          <w:spacing w:val="-4"/>
        </w:rPr>
        <w:t xml:space="preserve"> </w:t>
      </w:r>
      <w:r>
        <w:t>Louisiana</w:t>
      </w:r>
      <w:r>
        <w:rPr>
          <w:spacing w:val="-5"/>
        </w:rPr>
        <w:t xml:space="preserve"> </w:t>
      </w:r>
      <w:r>
        <w:t>Division</w:t>
      </w:r>
      <w:r>
        <w:rPr>
          <w:spacing w:val="-5"/>
        </w:rPr>
        <w:t xml:space="preserve"> </w:t>
      </w:r>
      <w:r>
        <w:t>of</w:t>
      </w:r>
      <w:r>
        <w:rPr>
          <w:spacing w:val="-2"/>
        </w:rPr>
        <w:t xml:space="preserve"> </w:t>
      </w:r>
      <w:r>
        <w:t>Administration,</w:t>
      </w:r>
      <w:r>
        <w:rPr>
          <w:spacing w:val="-4"/>
        </w:rPr>
        <w:t xml:space="preserve"> </w:t>
      </w:r>
      <w:r>
        <w:t>Community</w:t>
      </w:r>
      <w:r>
        <w:rPr>
          <w:spacing w:val="-4"/>
        </w:rPr>
        <w:t xml:space="preserve"> </w:t>
      </w:r>
      <w:r>
        <w:t>Development</w:t>
      </w:r>
      <w:r>
        <w:rPr>
          <w:spacing w:val="-4"/>
        </w:rPr>
        <w:t xml:space="preserve"> </w:t>
      </w:r>
      <w:r>
        <w:t>Block</w:t>
      </w:r>
      <w:r>
        <w:rPr>
          <w:spacing w:val="-4"/>
        </w:rPr>
        <w:t xml:space="preserve"> </w:t>
      </w:r>
      <w:r>
        <w:t>Grant</w:t>
      </w:r>
      <w:r>
        <w:rPr>
          <w:spacing w:val="-4"/>
        </w:rPr>
        <w:t xml:space="preserve"> </w:t>
      </w:r>
      <w:r>
        <w:t>Program.</w:t>
      </w:r>
    </w:p>
    <w:p w14:paraId="496A8815" w14:textId="77777777" w:rsidR="005436F2" w:rsidRDefault="005436F2" w:rsidP="005456CC">
      <w:pPr>
        <w:spacing w:line="259" w:lineRule="auto"/>
        <w:jc w:val="both"/>
        <w:sectPr w:rsidR="005436F2" w:rsidSect="006E308C">
          <w:footerReference w:type="default" r:id="rId7"/>
          <w:type w:val="continuous"/>
          <w:pgSz w:w="12240" w:h="15840"/>
          <w:pgMar w:top="280" w:right="1140" w:bottom="680" w:left="900" w:header="720" w:footer="498" w:gutter="0"/>
          <w:cols w:space="720"/>
        </w:sectPr>
      </w:pPr>
    </w:p>
    <w:p w14:paraId="496A8816" w14:textId="77777777" w:rsidR="005436F2" w:rsidRDefault="000439D2" w:rsidP="005456CC">
      <w:pPr>
        <w:pStyle w:val="ListParagraph"/>
        <w:numPr>
          <w:ilvl w:val="0"/>
          <w:numId w:val="1"/>
        </w:numPr>
        <w:tabs>
          <w:tab w:val="left" w:pos="328"/>
        </w:tabs>
        <w:spacing w:before="38" w:line="259" w:lineRule="auto"/>
        <w:ind w:left="110" w:right="198" w:firstLine="0"/>
        <w:jc w:val="both"/>
      </w:pPr>
      <w:r>
        <w:lastRenderedPageBreak/>
        <w:t xml:space="preserve">The </w:t>
      </w:r>
      <w:r>
        <w:t>(</w:t>
      </w:r>
      <w:r w:rsidRPr="000439D2">
        <w:rPr>
          <w:highlight w:val="yellow"/>
        </w:rPr>
        <w:t>special district</w:t>
      </w:r>
      <w:r>
        <w:t>) does hereby agree and authorize the (</w:t>
      </w:r>
      <w:r w:rsidRPr="000439D2">
        <w:rPr>
          <w:highlight w:val="yellow"/>
        </w:rPr>
        <w:t>UGLG</w:t>
      </w:r>
      <w:r>
        <w:t>) to (</w:t>
      </w:r>
      <w:r w:rsidRPr="000439D2">
        <w:rPr>
          <w:highlight w:val="yellow"/>
        </w:rPr>
        <w:t>construct/purchase</w:t>
      </w:r>
      <w:r>
        <w:t>) said project in accordance with the plans and specifications prepared by (engineering firm) and to use the available land and rights of way as owned by (</w:t>
      </w:r>
      <w:r w:rsidRPr="000439D2">
        <w:rPr>
          <w:highlight w:val="yellow"/>
        </w:rPr>
        <w:t>special</w:t>
      </w:r>
      <w:r w:rsidRPr="000439D2">
        <w:rPr>
          <w:spacing w:val="-16"/>
          <w:highlight w:val="yellow"/>
        </w:rPr>
        <w:t xml:space="preserve"> </w:t>
      </w:r>
      <w:r w:rsidRPr="000439D2">
        <w:rPr>
          <w:highlight w:val="yellow"/>
        </w:rPr>
        <w:t>district</w:t>
      </w:r>
      <w:r>
        <w:t>).</w:t>
      </w:r>
    </w:p>
    <w:p w14:paraId="496A8817" w14:textId="77777777" w:rsidR="005436F2" w:rsidRDefault="000439D2" w:rsidP="005456CC">
      <w:pPr>
        <w:spacing w:before="161" w:line="256" w:lineRule="auto"/>
        <w:ind w:left="110" w:right="698"/>
        <w:jc w:val="both"/>
        <w:rPr>
          <w:i/>
        </w:rPr>
      </w:pPr>
      <w:r>
        <w:rPr>
          <w:i/>
          <w:color w:val="FF0000"/>
        </w:rPr>
        <w:t>If the UGLG will operate and maintain the improvements, use the following sentence, otherwise use 4 through 6 below (delete the unneeded portion and this instruction):</w:t>
      </w:r>
    </w:p>
    <w:p w14:paraId="496A8818" w14:textId="77777777" w:rsidR="005436F2" w:rsidRDefault="000439D2" w:rsidP="005456CC">
      <w:pPr>
        <w:pStyle w:val="BodyText"/>
        <w:spacing w:before="163" w:line="256" w:lineRule="auto"/>
        <w:ind w:left="110" w:right="91"/>
        <w:jc w:val="both"/>
      </w:pPr>
      <w:r>
        <w:rPr>
          <w:color w:val="FF0000"/>
        </w:rPr>
        <w:t>The (</w:t>
      </w:r>
      <w:r w:rsidRPr="000439D2">
        <w:rPr>
          <w:color w:val="FF0000"/>
          <w:highlight w:val="yellow"/>
        </w:rPr>
        <w:t>UGLG</w:t>
      </w:r>
      <w:r>
        <w:rPr>
          <w:color w:val="FF0000"/>
        </w:rPr>
        <w:t>) hereby agrees to operate and maintain the project for a minimum of fifteen (15) years from the date of this agreement or for the useful life of the improvements, whichever is greater.</w:t>
      </w:r>
    </w:p>
    <w:p w14:paraId="496A8819" w14:textId="77777777" w:rsidR="005436F2" w:rsidRDefault="000439D2" w:rsidP="005456CC">
      <w:pPr>
        <w:pStyle w:val="ListParagraph"/>
        <w:numPr>
          <w:ilvl w:val="0"/>
          <w:numId w:val="1"/>
        </w:numPr>
        <w:tabs>
          <w:tab w:val="left" w:pos="329"/>
        </w:tabs>
        <w:spacing w:before="146" w:line="256" w:lineRule="auto"/>
        <w:ind w:left="110" w:right="130" w:firstLine="0"/>
        <w:jc w:val="both"/>
      </w:pPr>
      <w:r>
        <w:t>The (</w:t>
      </w:r>
      <w:r w:rsidRPr="000439D2">
        <w:rPr>
          <w:highlight w:val="yellow"/>
        </w:rPr>
        <w:t>UGLG</w:t>
      </w:r>
      <w:r>
        <w:t>) shall transfer ownership of the project to (</w:t>
      </w:r>
      <w:r w:rsidRPr="000439D2">
        <w:rPr>
          <w:highlight w:val="yellow"/>
        </w:rPr>
        <w:t>special district</w:t>
      </w:r>
      <w:r>
        <w:t>) only on the condition that said (special district) shall agree to properly operate and maintain said project in accordance with the terms and geographical</w:t>
      </w:r>
      <w:r>
        <w:rPr>
          <w:spacing w:val="-2"/>
        </w:rPr>
        <w:t xml:space="preserve"> </w:t>
      </w:r>
      <w:r>
        <w:t>boundaries</w:t>
      </w:r>
      <w:r>
        <w:rPr>
          <w:spacing w:val="-4"/>
        </w:rPr>
        <w:t xml:space="preserve"> </w:t>
      </w:r>
      <w:r>
        <w:t>of</w:t>
      </w:r>
      <w:r>
        <w:rPr>
          <w:spacing w:val="-4"/>
        </w:rPr>
        <w:t xml:space="preserve"> </w:t>
      </w:r>
      <w:r>
        <w:t>the</w:t>
      </w:r>
      <w:r>
        <w:rPr>
          <w:spacing w:val="-2"/>
        </w:rPr>
        <w:t xml:space="preserve"> </w:t>
      </w:r>
      <w:r>
        <w:t>service</w:t>
      </w:r>
      <w:r>
        <w:rPr>
          <w:spacing w:val="-2"/>
        </w:rPr>
        <w:t xml:space="preserve"> </w:t>
      </w:r>
      <w:r>
        <w:t>area</w:t>
      </w:r>
      <w:r>
        <w:rPr>
          <w:spacing w:val="-2"/>
        </w:rPr>
        <w:t xml:space="preserve"> </w:t>
      </w:r>
      <w:r>
        <w:t>as</w:t>
      </w:r>
      <w:r>
        <w:rPr>
          <w:spacing w:val="-4"/>
        </w:rPr>
        <w:t xml:space="preserve"> </w:t>
      </w:r>
      <w:r>
        <w:t>specified</w:t>
      </w:r>
      <w:r>
        <w:rPr>
          <w:spacing w:val="-3"/>
        </w:rPr>
        <w:t xml:space="preserve"> </w:t>
      </w:r>
      <w:r>
        <w:t>in</w:t>
      </w:r>
      <w:r>
        <w:rPr>
          <w:spacing w:val="-3"/>
        </w:rPr>
        <w:t xml:space="preserve"> </w:t>
      </w:r>
      <w:r>
        <w:t>the</w:t>
      </w:r>
      <w:r>
        <w:rPr>
          <w:spacing w:val="-2"/>
        </w:rPr>
        <w:t xml:space="preserve"> </w:t>
      </w:r>
      <w:r>
        <w:t>application</w:t>
      </w:r>
      <w:r>
        <w:rPr>
          <w:spacing w:val="-3"/>
        </w:rPr>
        <w:t xml:space="preserve"> </w:t>
      </w:r>
      <w:r>
        <w:t>approved</w:t>
      </w:r>
      <w:r>
        <w:rPr>
          <w:spacing w:val="-3"/>
        </w:rPr>
        <w:t xml:space="preserve"> </w:t>
      </w:r>
      <w:r>
        <w:t>on</w:t>
      </w:r>
      <w:r>
        <w:rPr>
          <w:spacing w:val="-3"/>
        </w:rPr>
        <w:t xml:space="preserve"> </w:t>
      </w:r>
      <w:r>
        <w:t>behalf</w:t>
      </w:r>
      <w:r>
        <w:rPr>
          <w:spacing w:val="-4"/>
        </w:rPr>
        <w:t xml:space="preserve"> </w:t>
      </w:r>
      <w:r>
        <w:t>of</w:t>
      </w:r>
      <w:r>
        <w:rPr>
          <w:spacing w:val="-4"/>
        </w:rPr>
        <w:t xml:space="preserve"> </w:t>
      </w:r>
      <w:r>
        <w:t>(</w:t>
      </w:r>
      <w:r w:rsidRPr="000439D2">
        <w:rPr>
          <w:highlight w:val="yellow"/>
        </w:rPr>
        <w:t>UGLG</w:t>
      </w:r>
      <w:r>
        <w:t>).</w:t>
      </w:r>
    </w:p>
    <w:p w14:paraId="496A881A" w14:textId="77777777" w:rsidR="005436F2" w:rsidRDefault="000439D2" w:rsidP="005456CC">
      <w:pPr>
        <w:pStyle w:val="ListParagraph"/>
        <w:numPr>
          <w:ilvl w:val="0"/>
          <w:numId w:val="1"/>
        </w:numPr>
        <w:tabs>
          <w:tab w:val="left" w:pos="329"/>
        </w:tabs>
        <w:spacing w:before="166" w:line="254" w:lineRule="auto"/>
        <w:ind w:left="110" w:right="283" w:firstLine="0"/>
        <w:jc w:val="both"/>
      </w:pPr>
      <w:r>
        <w:t>Specifically, the transfer of ownership shall be limited to the following property and items, to wit: (here the buildings, public facility system, etc. shall be legally</w:t>
      </w:r>
      <w:r>
        <w:rPr>
          <w:spacing w:val="-26"/>
        </w:rPr>
        <w:t xml:space="preserve"> </w:t>
      </w:r>
      <w:r>
        <w:t>described).</w:t>
      </w:r>
    </w:p>
    <w:p w14:paraId="496A881B" w14:textId="77777777" w:rsidR="005436F2" w:rsidRDefault="000439D2" w:rsidP="005456CC">
      <w:pPr>
        <w:pStyle w:val="ListParagraph"/>
        <w:numPr>
          <w:ilvl w:val="0"/>
          <w:numId w:val="1"/>
        </w:numPr>
        <w:tabs>
          <w:tab w:val="left" w:pos="329"/>
        </w:tabs>
        <w:spacing w:before="169" w:line="256" w:lineRule="auto"/>
        <w:ind w:left="110" w:right="257" w:firstLine="0"/>
        <w:jc w:val="both"/>
      </w:pPr>
      <w:r>
        <w:t>The (</w:t>
      </w:r>
      <w:r w:rsidRPr="000439D2">
        <w:rPr>
          <w:highlight w:val="yellow"/>
        </w:rPr>
        <w:t>special district</w:t>
      </w:r>
      <w:r>
        <w:t>) also agrees that the items or property listed above will not be transferred between districts or disposed of without LCDBG permission and complying with Federal Regulations concerning disposition of property purchased with LCDBG Funds. (24 CFR,</w:t>
      </w:r>
      <w:r>
        <w:rPr>
          <w:spacing w:val="-22"/>
        </w:rPr>
        <w:t xml:space="preserve"> </w:t>
      </w:r>
      <w:r>
        <w:t>570.489)</w:t>
      </w:r>
    </w:p>
    <w:p w14:paraId="496A881C" w14:textId="77777777" w:rsidR="005436F2" w:rsidRDefault="000439D2" w:rsidP="005456CC">
      <w:pPr>
        <w:pStyle w:val="BodyText"/>
        <w:spacing w:before="166" w:line="254" w:lineRule="auto"/>
        <w:ind w:left="110" w:right="295"/>
        <w:jc w:val="both"/>
      </w:pPr>
      <w:proofErr w:type="gramStart"/>
      <w:r>
        <w:t>THUS</w:t>
      </w:r>
      <w:proofErr w:type="gramEnd"/>
      <w:r>
        <w:t xml:space="preserve"> DONE AND SIGNED by authority granted as per attached resolutions of the above respective bodies through the undersigned duly authorized officers.</w:t>
      </w:r>
    </w:p>
    <w:p w14:paraId="496A881D" w14:textId="77777777" w:rsidR="005436F2" w:rsidRDefault="005436F2">
      <w:pPr>
        <w:pStyle w:val="BodyText"/>
      </w:pPr>
    </w:p>
    <w:p w14:paraId="496A881E" w14:textId="77777777" w:rsidR="005436F2" w:rsidRDefault="005436F2">
      <w:pPr>
        <w:pStyle w:val="BodyText"/>
        <w:spacing w:before="4"/>
        <w:rPr>
          <w:sz w:val="28"/>
        </w:rPr>
      </w:pPr>
    </w:p>
    <w:p w14:paraId="496A881F" w14:textId="77777777" w:rsidR="005436F2" w:rsidRDefault="000439D2">
      <w:pPr>
        <w:pStyle w:val="BodyText"/>
        <w:tabs>
          <w:tab w:val="left" w:pos="5239"/>
        </w:tabs>
        <w:spacing w:before="1"/>
        <w:ind w:left="110"/>
      </w:pPr>
      <w:r>
        <w:t>WITNESSES:</w:t>
      </w:r>
      <w:r>
        <w:tab/>
        <w:t>(</w:t>
      </w:r>
      <w:r w:rsidRPr="000439D2">
        <w:rPr>
          <w:highlight w:val="yellow"/>
        </w:rPr>
        <w:t>name of</w:t>
      </w:r>
      <w:r w:rsidRPr="000439D2">
        <w:rPr>
          <w:spacing w:val="-5"/>
          <w:highlight w:val="yellow"/>
        </w:rPr>
        <w:t xml:space="preserve"> </w:t>
      </w:r>
      <w:r w:rsidRPr="000439D2">
        <w:rPr>
          <w:highlight w:val="yellow"/>
        </w:rPr>
        <w:t>UGLG</w:t>
      </w:r>
      <w:r>
        <w:t>)</w:t>
      </w:r>
    </w:p>
    <w:p w14:paraId="496A8820" w14:textId="77777777" w:rsidR="005436F2" w:rsidRDefault="005436F2">
      <w:pPr>
        <w:pStyle w:val="BodyText"/>
        <w:rPr>
          <w:sz w:val="20"/>
        </w:rPr>
      </w:pPr>
    </w:p>
    <w:p w14:paraId="496A8821" w14:textId="77777777" w:rsidR="005436F2" w:rsidRDefault="000439D2">
      <w:pPr>
        <w:pStyle w:val="BodyText"/>
        <w:spacing w:before="11"/>
        <w:rPr>
          <w:sz w:val="10"/>
        </w:rPr>
      </w:pPr>
      <w:r>
        <w:pict w14:anchorId="496A882C">
          <v:line id="_x0000_s2056" style="position:absolute;z-index:251654656;mso-wrap-distance-left:0;mso-wrap-distance-right:0;mso-position-horizontal-relative:page" from="68.5pt,9pt" to="216.45pt,9pt" strokeweight=".25292mm">
            <w10:wrap type="topAndBottom" anchorx="page"/>
          </v:line>
        </w:pict>
      </w:r>
      <w:r>
        <w:pict w14:anchorId="496A882D">
          <v:line id="_x0000_s2055" style="position:absolute;z-index:251655680;mso-wrap-distance-left:0;mso-wrap-distance-right:0;mso-position-horizontal-relative:page" from="288.95pt,9pt" to="447.95pt,9pt" strokeweight=".25292mm">
            <w10:wrap type="topAndBottom" anchorx="page"/>
          </v:line>
        </w:pict>
      </w:r>
    </w:p>
    <w:p w14:paraId="496A8822" w14:textId="77777777" w:rsidR="005436F2" w:rsidRDefault="005436F2">
      <w:pPr>
        <w:pStyle w:val="BodyText"/>
        <w:rPr>
          <w:sz w:val="20"/>
        </w:rPr>
      </w:pPr>
    </w:p>
    <w:p w14:paraId="496A8823" w14:textId="77777777" w:rsidR="005436F2" w:rsidRDefault="000439D2">
      <w:pPr>
        <w:pStyle w:val="BodyText"/>
        <w:spacing w:before="1"/>
        <w:rPr>
          <w:sz w:val="10"/>
        </w:rPr>
      </w:pPr>
      <w:r>
        <w:pict w14:anchorId="496A882E">
          <v:line id="_x0000_s2054" style="position:absolute;z-index:251656704;mso-wrap-distance-left:0;mso-wrap-distance-right:0;mso-position-horizontal-relative:page" from="68.5pt,8.5pt" to="216.45pt,8.5pt" strokeweight=".25292mm">
            <w10:wrap type="topAndBottom" anchorx="page"/>
          </v:line>
        </w:pict>
      </w:r>
      <w:r>
        <w:pict w14:anchorId="496A882F">
          <v:line id="_x0000_s2053" style="position:absolute;z-index:251657728;mso-wrap-distance-left:0;mso-wrap-distance-right:0;mso-position-horizontal-relative:page" from="288.95pt,8.5pt" to="447.95pt,8.5pt" strokeweight=".25292mm">
            <w10:wrap type="topAndBottom" anchorx="page"/>
          </v:line>
        </w:pict>
      </w:r>
    </w:p>
    <w:p w14:paraId="496A8824" w14:textId="77777777" w:rsidR="005436F2" w:rsidRDefault="000439D2">
      <w:pPr>
        <w:pStyle w:val="BodyText"/>
        <w:spacing w:before="12"/>
        <w:ind w:left="4967"/>
      </w:pPr>
      <w:r>
        <w:t>PRESIDENT/MAYOR</w:t>
      </w:r>
    </w:p>
    <w:p w14:paraId="496A8825" w14:textId="77777777" w:rsidR="005436F2" w:rsidRDefault="000439D2">
      <w:pPr>
        <w:pStyle w:val="BodyText"/>
        <w:spacing w:before="7"/>
        <w:rPr>
          <w:sz w:val="17"/>
        </w:rPr>
      </w:pPr>
      <w:r>
        <w:pict w14:anchorId="496A8830">
          <v:line id="_x0000_s2052" style="position:absolute;z-index:251658752;mso-wrap-distance-left:0;mso-wrap-distance-right:0;mso-position-horizontal-relative:page" from="68.5pt,13.05pt" to="216.45pt,13.05pt" strokeweight=".25292mm">
            <w10:wrap type="topAndBottom" anchorx="page"/>
          </v:line>
        </w:pict>
      </w:r>
    </w:p>
    <w:p w14:paraId="496A8826" w14:textId="77777777" w:rsidR="005436F2" w:rsidRDefault="005436F2">
      <w:pPr>
        <w:pStyle w:val="BodyText"/>
        <w:spacing w:before="4"/>
        <w:rPr>
          <w:sz w:val="9"/>
        </w:rPr>
      </w:pPr>
    </w:p>
    <w:p w14:paraId="496A8827" w14:textId="77777777" w:rsidR="005436F2" w:rsidRDefault="000439D2">
      <w:pPr>
        <w:pStyle w:val="BodyText"/>
        <w:spacing w:before="57"/>
        <w:ind w:left="4518"/>
      </w:pPr>
      <w:r>
        <w:pict w14:anchorId="496A8831">
          <v:line id="_x0000_s2051" style="position:absolute;left:0;text-align:left;z-index:251660800;mso-position-horizontal-relative:page" from="68.5pt,14.95pt" to="216.45pt,14.95pt" strokeweight=".25292mm">
            <w10:wrap anchorx="page"/>
          </v:line>
        </w:pict>
      </w:r>
      <w:r>
        <w:t>(</w:t>
      </w:r>
      <w:r w:rsidRPr="000439D2">
        <w:rPr>
          <w:highlight w:val="yellow"/>
        </w:rPr>
        <w:t>name of special district</w:t>
      </w:r>
      <w:r>
        <w:t>)</w:t>
      </w:r>
    </w:p>
    <w:p w14:paraId="496A8828" w14:textId="77777777" w:rsidR="005436F2" w:rsidRDefault="005436F2">
      <w:pPr>
        <w:pStyle w:val="BodyText"/>
        <w:rPr>
          <w:sz w:val="20"/>
        </w:rPr>
      </w:pPr>
    </w:p>
    <w:p w14:paraId="496A8829" w14:textId="77777777" w:rsidR="005436F2" w:rsidRDefault="000439D2">
      <w:pPr>
        <w:pStyle w:val="BodyText"/>
        <w:spacing w:before="11"/>
        <w:rPr>
          <w:sz w:val="10"/>
        </w:rPr>
      </w:pPr>
      <w:r>
        <w:pict w14:anchorId="496A8832">
          <v:line id="_x0000_s2050" style="position:absolute;z-index:251659776;mso-wrap-distance-left:0;mso-wrap-distance-right:0;mso-position-horizontal-relative:page" from="288.95pt,9pt" to="447.95pt,9pt" strokeweight=".25292mm">
            <w10:wrap type="topAndBottom" anchorx="page"/>
          </v:line>
        </w:pict>
      </w:r>
    </w:p>
    <w:sectPr w:rsidR="005436F2">
      <w:pgSz w:w="12240" w:h="15840"/>
      <w:pgMar w:top="780" w:right="1140" w:bottom="680" w:left="1260" w:header="0"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3181" w14:textId="77777777" w:rsidR="006E308C" w:rsidRDefault="006E308C">
      <w:r>
        <w:separator/>
      </w:r>
    </w:p>
  </w:endnote>
  <w:endnote w:type="continuationSeparator" w:id="0">
    <w:p w14:paraId="536AA970" w14:textId="77777777" w:rsidR="006E308C" w:rsidRDefault="006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8833" w14:textId="759C3651" w:rsidR="005436F2" w:rsidRPr="000439D2" w:rsidRDefault="000439D2" w:rsidP="000439D2">
    <w:pPr>
      <w:pStyle w:val="Footer"/>
      <w:rPr>
        <w:color w:val="808080" w:themeColor="background1" w:themeShade="80"/>
      </w:rPr>
    </w:pPr>
    <w:r w:rsidRPr="000439D2">
      <w:rPr>
        <w:color w:val="808080" w:themeColor="background1" w:themeShade="80"/>
      </w:rPr>
      <w:t>Revised 4.1.2024</w:t>
    </w:r>
    <w:r w:rsidRPr="000439D2">
      <w:rPr>
        <w:color w:val="808080" w:themeColor="background1" w:themeShade="80"/>
      </w:rPr>
      <w:tab/>
    </w:r>
    <w:r w:rsidRPr="000439D2">
      <w:rPr>
        <w:color w:val="808080" w:themeColor="background1" w:themeShade="80"/>
      </w:rPr>
      <w:tab/>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C7C2" w14:textId="77777777" w:rsidR="006E308C" w:rsidRDefault="006E308C">
      <w:r>
        <w:separator/>
      </w:r>
    </w:p>
  </w:footnote>
  <w:footnote w:type="continuationSeparator" w:id="0">
    <w:p w14:paraId="29C7B2E3" w14:textId="77777777" w:rsidR="006E308C" w:rsidRDefault="006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ADA"/>
    <w:multiLevelType w:val="hybridMultilevel"/>
    <w:tmpl w:val="2BF81A14"/>
    <w:lvl w:ilvl="0" w:tplc="C88C2CB2">
      <w:start w:val="1"/>
      <w:numFmt w:val="lowerLetter"/>
      <w:lvlText w:val="(%1)"/>
      <w:lvlJc w:val="left"/>
      <w:pPr>
        <w:ind w:left="470" w:hanging="360"/>
        <w:jc w:val="left"/>
      </w:pPr>
      <w:rPr>
        <w:rFonts w:ascii="Calibri" w:eastAsia="Calibri" w:hAnsi="Calibri" w:cs="Calibri" w:hint="default"/>
        <w:spacing w:val="-1"/>
        <w:w w:val="100"/>
        <w:sz w:val="22"/>
        <w:szCs w:val="22"/>
      </w:rPr>
    </w:lvl>
    <w:lvl w:ilvl="1" w:tplc="25E2CBCA">
      <w:start w:val="2"/>
      <w:numFmt w:val="decimal"/>
      <w:lvlText w:val="(%2)"/>
      <w:lvlJc w:val="left"/>
      <w:pPr>
        <w:ind w:left="470" w:hanging="346"/>
        <w:jc w:val="left"/>
      </w:pPr>
      <w:rPr>
        <w:rFonts w:ascii="Calibri" w:eastAsia="Calibri" w:hAnsi="Calibri" w:cs="Calibri" w:hint="default"/>
        <w:w w:val="100"/>
        <w:sz w:val="22"/>
        <w:szCs w:val="22"/>
      </w:rPr>
    </w:lvl>
    <w:lvl w:ilvl="2" w:tplc="B09610DC">
      <w:numFmt w:val="bullet"/>
      <w:lvlText w:val="•"/>
      <w:lvlJc w:val="left"/>
      <w:pPr>
        <w:ind w:left="1560" w:hanging="346"/>
      </w:pPr>
      <w:rPr>
        <w:rFonts w:hint="default"/>
      </w:rPr>
    </w:lvl>
    <w:lvl w:ilvl="3" w:tplc="0E9CC4B4">
      <w:numFmt w:val="bullet"/>
      <w:lvlText w:val="•"/>
      <w:lvlJc w:val="left"/>
      <w:pPr>
        <w:ind w:left="2640" w:hanging="346"/>
      </w:pPr>
      <w:rPr>
        <w:rFonts w:hint="default"/>
      </w:rPr>
    </w:lvl>
    <w:lvl w:ilvl="4" w:tplc="D95A0386">
      <w:numFmt w:val="bullet"/>
      <w:lvlText w:val="•"/>
      <w:lvlJc w:val="left"/>
      <w:pPr>
        <w:ind w:left="3720" w:hanging="346"/>
      </w:pPr>
      <w:rPr>
        <w:rFonts w:hint="default"/>
      </w:rPr>
    </w:lvl>
    <w:lvl w:ilvl="5" w:tplc="ABBE402E">
      <w:numFmt w:val="bullet"/>
      <w:lvlText w:val="•"/>
      <w:lvlJc w:val="left"/>
      <w:pPr>
        <w:ind w:left="4800" w:hanging="346"/>
      </w:pPr>
      <w:rPr>
        <w:rFonts w:hint="default"/>
      </w:rPr>
    </w:lvl>
    <w:lvl w:ilvl="6" w:tplc="AB52D56E">
      <w:numFmt w:val="bullet"/>
      <w:lvlText w:val="•"/>
      <w:lvlJc w:val="left"/>
      <w:pPr>
        <w:ind w:left="5880" w:hanging="346"/>
      </w:pPr>
      <w:rPr>
        <w:rFonts w:hint="default"/>
      </w:rPr>
    </w:lvl>
    <w:lvl w:ilvl="7" w:tplc="7CDEB1A8">
      <w:numFmt w:val="bullet"/>
      <w:lvlText w:val="•"/>
      <w:lvlJc w:val="left"/>
      <w:pPr>
        <w:ind w:left="6960" w:hanging="346"/>
      </w:pPr>
      <w:rPr>
        <w:rFonts w:hint="default"/>
      </w:rPr>
    </w:lvl>
    <w:lvl w:ilvl="8" w:tplc="2C425B72">
      <w:numFmt w:val="bullet"/>
      <w:lvlText w:val="•"/>
      <w:lvlJc w:val="left"/>
      <w:pPr>
        <w:ind w:left="8040" w:hanging="346"/>
      </w:pPr>
      <w:rPr>
        <w:rFonts w:hint="default"/>
      </w:rPr>
    </w:lvl>
  </w:abstractNum>
  <w:abstractNum w:abstractNumId="1" w15:restartNumberingAfterBreak="0">
    <w:nsid w:val="16EE6EF0"/>
    <w:multiLevelType w:val="hybridMultilevel"/>
    <w:tmpl w:val="645C9D3C"/>
    <w:lvl w:ilvl="0" w:tplc="986E600C">
      <w:start w:val="1"/>
      <w:numFmt w:val="decimal"/>
      <w:lvlText w:val="%1."/>
      <w:lvlJc w:val="left"/>
      <w:pPr>
        <w:ind w:left="470" w:hanging="219"/>
        <w:jc w:val="right"/>
      </w:pPr>
      <w:rPr>
        <w:rFonts w:ascii="Calibri" w:eastAsia="Calibri" w:hAnsi="Calibri" w:cs="Calibri" w:hint="default"/>
        <w:w w:val="100"/>
        <w:sz w:val="22"/>
        <w:szCs w:val="22"/>
      </w:rPr>
    </w:lvl>
    <w:lvl w:ilvl="1" w:tplc="0E64536C">
      <w:numFmt w:val="bullet"/>
      <w:lvlText w:val="•"/>
      <w:lvlJc w:val="left"/>
      <w:pPr>
        <w:ind w:left="1452" w:hanging="219"/>
      </w:pPr>
      <w:rPr>
        <w:rFonts w:hint="default"/>
      </w:rPr>
    </w:lvl>
    <w:lvl w:ilvl="2" w:tplc="E9D64F5A">
      <w:numFmt w:val="bullet"/>
      <w:lvlText w:val="•"/>
      <w:lvlJc w:val="left"/>
      <w:pPr>
        <w:ind w:left="2424" w:hanging="219"/>
      </w:pPr>
      <w:rPr>
        <w:rFonts w:hint="default"/>
      </w:rPr>
    </w:lvl>
    <w:lvl w:ilvl="3" w:tplc="90C077BA">
      <w:numFmt w:val="bullet"/>
      <w:lvlText w:val="•"/>
      <w:lvlJc w:val="left"/>
      <w:pPr>
        <w:ind w:left="3396" w:hanging="219"/>
      </w:pPr>
      <w:rPr>
        <w:rFonts w:hint="default"/>
      </w:rPr>
    </w:lvl>
    <w:lvl w:ilvl="4" w:tplc="7EFA99C6">
      <w:numFmt w:val="bullet"/>
      <w:lvlText w:val="•"/>
      <w:lvlJc w:val="left"/>
      <w:pPr>
        <w:ind w:left="4368" w:hanging="219"/>
      </w:pPr>
      <w:rPr>
        <w:rFonts w:hint="default"/>
      </w:rPr>
    </w:lvl>
    <w:lvl w:ilvl="5" w:tplc="C4DCCA88">
      <w:numFmt w:val="bullet"/>
      <w:lvlText w:val="•"/>
      <w:lvlJc w:val="left"/>
      <w:pPr>
        <w:ind w:left="5340" w:hanging="219"/>
      </w:pPr>
      <w:rPr>
        <w:rFonts w:hint="default"/>
      </w:rPr>
    </w:lvl>
    <w:lvl w:ilvl="6" w:tplc="3E48D6E8">
      <w:numFmt w:val="bullet"/>
      <w:lvlText w:val="•"/>
      <w:lvlJc w:val="left"/>
      <w:pPr>
        <w:ind w:left="6312" w:hanging="219"/>
      </w:pPr>
      <w:rPr>
        <w:rFonts w:hint="default"/>
      </w:rPr>
    </w:lvl>
    <w:lvl w:ilvl="7" w:tplc="3408870C">
      <w:numFmt w:val="bullet"/>
      <w:lvlText w:val="•"/>
      <w:lvlJc w:val="left"/>
      <w:pPr>
        <w:ind w:left="7284" w:hanging="219"/>
      </w:pPr>
      <w:rPr>
        <w:rFonts w:hint="default"/>
      </w:rPr>
    </w:lvl>
    <w:lvl w:ilvl="8" w:tplc="7EF8574E">
      <w:numFmt w:val="bullet"/>
      <w:lvlText w:val="•"/>
      <w:lvlJc w:val="left"/>
      <w:pPr>
        <w:ind w:left="8256" w:hanging="219"/>
      </w:pPr>
      <w:rPr>
        <w:rFonts w:hint="default"/>
      </w:rPr>
    </w:lvl>
  </w:abstractNum>
  <w:num w:numId="1" w16cid:durableId="1694110998">
    <w:abstractNumId w:val="1"/>
  </w:num>
  <w:num w:numId="2" w16cid:durableId="162106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436F2"/>
    <w:rsid w:val="000439D2"/>
    <w:rsid w:val="000707B4"/>
    <w:rsid w:val="005436F2"/>
    <w:rsid w:val="005456CC"/>
    <w:rsid w:val="0067285E"/>
    <w:rsid w:val="006E308C"/>
    <w:rsid w:val="00CE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96A87F8"/>
  <w15:docId w15:val="{49BE65DE-F964-40C2-B9A1-7BC1A310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1"/>
      <w:ind w:left="4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39D2"/>
    <w:pPr>
      <w:tabs>
        <w:tab w:val="center" w:pos="4680"/>
        <w:tab w:val="right" w:pos="9360"/>
      </w:tabs>
    </w:pPr>
  </w:style>
  <w:style w:type="character" w:customStyle="1" w:styleId="HeaderChar">
    <w:name w:val="Header Char"/>
    <w:basedOn w:val="DefaultParagraphFont"/>
    <w:link w:val="Header"/>
    <w:uiPriority w:val="99"/>
    <w:rsid w:val="000439D2"/>
    <w:rPr>
      <w:rFonts w:ascii="Calibri" w:eastAsia="Calibri" w:hAnsi="Calibri" w:cs="Calibri"/>
    </w:rPr>
  </w:style>
  <w:style w:type="paragraph" w:styleId="Footer">
    <w:name w:val="footer"/>
    <w:basedOn w:val="Normal"/>
    <w:link w:val="FooterChar"/>
    <w:uiPriority w:val="99"/>
    <w:unhideWhenUsed/>
    <w:rsid w:val="000439D2"/>
    <w:pPr>
      <w:tabs>
        <w:tab w:val="center" w:pos="4680"/>
        <w:tab w:val="right" w:pos="9360"/>
      </w:tabs>
    </w:pPr>
  </w:style>
  <w:style w:type="character" w:customStyle="1" w:styleId="FooterChar">
    <w:name w:val="Footer Char"/>
    <w:basedOn w:val="DefaultParagraphFont"/>
    <w:link w:val="Footer"/>
    <w:uiPriority w:val="99"/>
    <w:rsid w:val="000439D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Argrave</dc:creator>
  <cp:lastModifiedBy>Kathleen Weissenberger</cp:lastModifiedBy>
  <cp:revision>6</cp:revision>
  <dcterms:created xsi:type="dcterms:W3CDTF">2024-02-07T16:59:00Z</dcterms:created>
  <dcterms:modified xsi:type="dcterms:W3CDTF">2024-03-13T12:46:00Z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17 for Word</vt:lpwstr>
  </property>
  <property fmtid="{D5CDD505-2E9C-101B-9397-08002B2CF9AE}" pid="4" name="LastSaved">
    <vt:filetime>2024-02-07T00:00:00Z</vt:filetime>
  </property>
</Properties>
</file>