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59BD" w14:textId="77777777" w:rsidR="00470D2A" w:rsidRDefault="00470D2A" w:rsidP="00470D2A">
      <w:pPr>
        <w:pStyle w:val="Title1"/>
      </w:pPr>
      <w:r>
        <w:t>Title 4</w:t>
      </w:r>
    </w:p>
    <w:p w14:paraId="7D2662DA" w14:textId="77777777" w:rsidR="00470D2A" w:rsidRDefault="00470D2A" w:rsidP="00470D2A">
      <w:pPr>
        <w:pStyle w:val="Title2"/>
      </w:pPr>
      <w:r>
        <w:t>ADMINISTRATION</w:t>
      </w:r>
    </w:p>
    <w:p w14:paraId="44AB3211" w14:textId="77777777" w:rsidR="00470D2A" w:rsidRDefault="00470D2A" w:rsidP="00470D2A">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1B61DE7A" w14:textId="77777777" w:rsidR="00470D2A" w:rsidRPr="00470D2A" w:rsidRDefault="00470D2A" w:rsidP="00470D2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rPr>
          <w:rFonts w:eastAsia="Times New Roman" w:cs="Times New Roman"/>
          <w:b/>
          <w:kern w:val="2"/>
          <w:sz w:val="28"/>
          <w:szCs w:val="20"/>
        </w:rPr>
      </w:pPr>
      <w:bookmarkStart w:id="5" w:name="_Toc18406431"/>
      <w:bookmarkStart w:id="6" w:name="_Toc214949789"/>
      <w:r w:rsidRPr="00470D2A">
        <w:rPr>
          <w:rFonts w:eastAsia="Times New Roman" w:cs="Times New Roman"/>
          <w:b/>
          <w:kern w:val="2"/>
          <w:sz w:val="28"/>
          <w:szCs w:val="20"/>
        </w:rPr>
        <w:t>Chapter 49.</w:t>
      </w:r>
      <w:r w:rsidRPr="00470D2A">
        <w:rPr>
          <w:rFonts w:eastAsia="Times New Roman" w:cs="Times New Roman"/>
          <w:b/>
          <w:kern w:val="2"/>
          <w:sz w:val="28"/>
          <w:szCs w:val="20"/>
        </w:rPr>
        <w:tab/>
        <w:t>Fee Schedule for Cooperative Purchasing</w:t>
      </w:r>
      <w:r w:rsidRPr="00470D2A">
        <w:rPr>
          <w:rFonts w:ascii="Segoe UI Symbol" w:eastAsia="Segoe UI Symbol" w:hAnsi="Segoe UI Symbol" w:cs="Segoe UI Symbol"/>
          <w:b/>
          <w:kern w:val="2"/>
          <w:sz w:val="28"/>
          <w:szCs w:val="20"/>
        </w:rPr>
        <w:sym w:font="Symbol" w:char="F0BE"/>
      </w:r>
      <w:r w:rsidRPr="00470D2A">
        <w:rPr>
          <w:rFonts w:eastAsia="Times New Roman" w:cs="Times New Roman"/>
          <w:b/>
          <w:kern w:val="2"/>
          <w:sz w:val="28"/>
          <w:szCs w:val="20"/>
        </w:rPr>
        <w:t>PPM Number 54</w:t>
      </w:r>
      <w:bookmarkEnd w:id="5"/>
      <w:bookmarkEnd w:id="6"/>
    </w:p>
    <w:p w14:paraId="14A0A4F2" w14:textId="77777777" w:rsidR="00470D2A" w:rsidRPr="00470D2A" w:rsidRDefault="00470D2A" w:rsidP="00470D2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7" w:name="_Toc18406432"/>
      <w:bookmarkStart w:id="8" w:name="_Toc214949790"/>
      <w:r w:rsidRPr="00470D2A">
        <w:rPr>
          <w:rFonts w:eastAsia="Times New Roman" w:cs="Times New Roman"/>
          <w:b/>
          <w:kern w:val="2"/>
          <w:szCs w:val="20"/>
        </w:rPr>
        <w:t>§4901.</w:t>
      </w:r>
      <w:r w:rsidRPr="00470D2A">
        <w:rPr>
          <w:rFonts w:eastAsia="Times New Roman" w:cs="Times New Roman"/>
          <w:b/>
          <w:kern w:val="2"/>
          <w:szCs w:val="20"/>
        </w:rPr>
        <w:tab/>
        <w:t>Authority</w:t>
      </w:r>
      <w:bookmarkEnd w:id="7"/>
      <w:bookmarkEnd w:id="8"/>
    </w:p>
    <w:p w14:paraId="71E49B59" w14:textId="77777777" w:rsidR="00470D2A" w:rsidRPr="00470D2A" w:rsidRDefault="00470D2A" w:rsidP="00470D2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470D2A">
        <w:rPr>
          <w:rFonts w:eastAsia="Times New Roman" w:cs="Times New Roman"/>
          <w:kern w:val="2"/>
          <w:szCs w:val="20"/>
        </w:rPr>
        <w:t>A.</w:t>
      </w:r>
      <w:r w:rsidRPr="00470D2A">
        <w:rPr>
          <w:rFonts w:eastAsia="Times New Roman" w:cs="Times New Roman"/>
          <w:kern w:val="2"/>
          <w:szCs w:val="20"/>
        </w:rPr>
        <w:tab/>
        <w:t xml:space="preserve">Pursuant to R.S. 39:1706, the chief procurement officer for the state of Louisiana may provide personnel and services to public procurement </w:t>
      </w:r>
      <w:proofErr w:type="gramStart"/>
      <w:r w:rsidRPr="00470D2A">
        <w:rPr>
          <w:rFonts w:eastAsia="Times New Roman" w:cs="Times New Roman"/>
          <w:kern w:val="2"/>
          <w:szCs w:val="20"/>
        </w:rPr>
        <w:t>units, and</w:t>
      </w:r>
      <w:proofErr w:type="gramEnd"/>
      <w:r w:rsidRPr="00470D2A">
        <w:rPr>
          <w:rFonts w:eastAsia="Times New Roman" w:cs="Times New Roman"/>
          <w:kern w:val="2"/>
          <w:szCs w:val="20"/>
        </w:rPr>
        <w:t xml:space="preserve"> may charge fees to receiving units for same. The chief procurement officer of the state of Louisiana may also charge fees to defray the costs of providing the service of statewide contracts for use by the state of Louisiana’s agencies, parishes, cities, towns, governmental bodies and any other subdivision of the state or public agency, public authority, public educational, health or other institution and to the extent provided by law, any other entity which expends public funds for the acquisition or leasing of supplies, services, major repairs and construction, including any nonprofit corporation operating a charity hospital. Pursuant to R.S. 39:1706(E), the chief procurement officer may </w:t>
      </w:r>
      <w:proofErr w:type="gramStart"/>
      <w:r w:rsidRPr="00470D2A">
        <w:rPr>
          <w:rFonts w:eastAsia="Times New Roman" w:cs="Times New Roman"/>
          <w:kern w:val="2"/>
          <w:szCs w:val="20"/>
        </w:rPr>
        <w:t>enter into</w:t>
      </w:r>
      <w:proofErr w:type="gramEnd"/>
      <w:r w:rsidRPr="00470D2A">
        <w:rPr>
          <w:rFonts w:eastAsia="Times New Roman" w:cs="Times New Roman"/>
          <w:kern w:val="2"/>
          <w:szCs w:val="20"/>
        </w:rPr>
        <w:t xml:space="preserve"> contractual arrangements and publish a schedule of fees for the services provided under subsections (C) and (D) of R.S. 39:1706. </w:t>
      </w:r>
    </w:p>
    <w:p w14:paraId="6A289174" w14:textId="77777777" w:rsidR="00470D2A" w:rsidRPr="00470D2A" w:rsidRDefault="00470D2A" w:rsidP="00470D2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470D2A">
        <w:rPr>
          <w:rFonts w:eastAsia="Times New Roman" w:cs="Times New Roman"/>
          <w:kern w:val="2"/>
          <w:szCs w:val="20"/>
        </w:rPr>
        <w:t>B.</w:t>
      </w:r>
      <w:r w:rsidRPr="00470D2A">
        <w:rPr>
          <w:rFonts w:eastAsia="Times New Roman" w:cs="Times New Roman"/>
          <w:kern w:val="2"/>
          <w:szCs w:val="20"/>
        </w:rPr>
        <w:tab/>
        <w:t xml:space="preserve">For purposes of this Memorandum, “fees” should be understood to include in its meaning both fees and rebates. </w:t>
      </w:r>
    </w:p>
    <w:p w14:paraId="3160ED2D" w14:textId="77777777" w:rsidR="00470D2A" w:rsidRPr="00470D2A" w:rsidRDefault="00470D2A" w:rsidP="00470D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470D2A">
        <w:rPr>
          <w:rFonts w:eastAsia="Times New Roman" w:cs="Times New Roman"/>
          <w:kern w:val="2"/>
          <w:sz w:val="18"/>
          <w:szCs w:val="20"/>
        </w:rPr>
        <w:t>AUTHORITY NOTE:</w:t>
      </w:r>
      <w:r w:rsidRPr="00470D2A">
        <w:rPr>
          <w:rFonts w:eastAsia="Times New Roman" w:cs="Times New Roman"/>
          <w:kern w:val="2"/>
          <w:sz w:val="18"/>
          <w:szCs w:val="20"/>
        </w:rPr>
        <w:tab/>
        <w:t xml:space="preserve">Promulgated in accordance with R.S. 39:4 and R.S. 39:1706(C), (D) and (E). </w:t>
      </w:r>
    </w:p>
    <w:p w14:paraId="6E77AF9C" w14:textId="77777777" w:rsidR="00470D2A" w:rsidRPr="00470D2A" w:rsidRDefault="00470D2A" w:rsidP="00470D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470D2A">
        <w:rPr>
          <w:rFonts w:eastAsia="Times New Roman" w:cs="Times New Roman"/>
          <w:kern w:val="2"/>
          <w:sz w:val="18"/>
          <w:szCs w:val="20"/>
        </w:rPr>
        <w:t>HISTORICAL NOTE:</w:t>
      </w:r>
      <w:r w:rsidRPr="00470D2A">
        <w:rPr>
          <w:rFonts w:eastAsia="Times New Roman" w:cs="Times New Roman"/>
          <w:kern w:val="2"/>
          <w:sz w:val="18"/>
          <w:szCs w:val="20"/>
        </w:rPr>
        <w:tab/>
        <w:t>Promulgated by the Office of the Governor, Division of Administration, Office of State Procurement, LR 42:2063 (October 2015), amended LR 43:1108 (June 2017).</w:t>
      </w:r>
    </w:p>
    <w:p w14:paraId="0098F2D4" w14:textId="77777777" w:rsidR="00470D2A" w:rsidRPr="00470D2A" w:rsidRDefault="00470D2A" w:rsidP="00470D2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9" w:name="_Toc18406433"/>
      <w:bookmarkStart w:id="10" w:name="_Toc214949791"/>
      <w:r w:rsidRPr="00470D2A">
        <w:rPr>
          <w:rFonts w:eastAsia="Times New Roman" w:cs="Times New Roman"/>
          <w:b/>
          <w:kern w:val="2"/>
          <w:szCs w:val="20"/>
        </w:rPr>
        <w:t>§4903.</w:t>
      </w:r>
      <w:r w:rsidRPr="00470D2A">
        <w:rPr>
          <w:rFonts w:eastAsia="Times New Roman" w:cs="Times New Roman"/>
          <w:b/>
          <w:kern w:val="2"/>
          <w:szCs w:val="20"/>
        </w:rPr>
        <w:tab/>
        <w:t>Policy</w:t>
      </w:r>
      <w:bookmarkEnd w:id="9"/>
      <w:bookmarkEnd w:id="10"/>
    </w:p>
    <w:p w14:paraId="06A86BF0" w14:textId="77777777" w:rsidR="00470D2A" w:rsidRPr="00470D2A" w:rsidRDefault="00470D2A" w:rsidP="00470D2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470D2A">
        <w:rPr>
          <w:rFonts w:eastAsia="Times New Roman" w:cs="Times New Roman"/>
          <w:kern w:val="2"/>
          <w:szCs w:val="20"/>
        </w:rPr>
        <w:t>A.</w:t>
      </w:r>
      <w:r w:rsidRPr="00470D2A">
        <w:rPr>
          <w:rFonts w:eastAsia="Times New Roman" w:cs="Times New Roman"/>
          <w:kern w:val="2"/>
          <w:szCs w:val="20"/>
        </w:rPr>
        <w:tab/>
        <w:t>As part of all cooperative contracts it shall be the policy of the Office of State Procurement to provide information and assistance to facilitate their use statewide and to recoup those costs as authorized under R.S. 39:1706(E) by contracting directly with vendors to recover same in the form of a fee from net aggregate sales under the contract. The following fee remittance schedule should be included in all cooperative contracts where services are provided pursuant to R.S. 39:1706(C) and (D) by the Office of State Procurement in support of cooperative purchases.</w:t>
      </w:r>
    </w:p>
    <w:p w14:paraId="06417D28" w14:textId="77777777" w:rsidR="00470D2A" w:rsidRPr="00470D2A" w:rsidRDefault="00470D2A" w:rsidP="00470D2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470D2A">
        <w:rPr>
          <w:rFonts w:eastAsia="Times New Roman" w:cs="Times New Roman"/>
          <w:kern w:val="2"/>
          <w:szCs w:val="20"/>
        </w:rPr>
        <w:t>B.</w:t>
      </w:r>
      <w:r w:rsidRPr="00470D2A">
        <w:rPr>
          <w:rFonts w:eastAsia="Times New Roman" w:cs="Times New Roman"/>
          <w:kern w:val="2"/>
          <w:szCs w:val="20"/>
        </w:rPr>
        <w:tab/>
        <w:t>All net sales made by means of the contract shall be included in the base amount (net aggregate sales) against which the fee percentage is multiplied. This includes the sale of goods and services not included as a line item or otherwise referenced in the contract, but which the vendor sold by means of the contract, or which the vendor has represented to be contractual usage.</w:t>
      </w:r>
    </w:p>
    <w:p w14:paraId="196B1187" w14:textId="77777777" w:rsidR="00470D2A" w:rsidRPr="00470D2A" w:rsidRDefault="00470D2A" w:rsidP="00470D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470D2A">
        <w:rPr>
          <w:rFonts w:eastAsia="Times New Roman" w:cs="Times New Roman"/>
          <w:kern w:val="2"/>
          <w:sz w:val="18"/>
          <w:szCs w:val="20"/>
        </w:rPr>
        <w:t>AUTHORITY NOTE:</w:t>
      </w:r>
      <w:r w:rsidRPr="00470D2A">
        <w:rPr>
          <w:rFonts w:eastAsia="Times New Roman" w:cs="Times New Roman"/>
          <w:kern w:val="2"/>
          <w:sz w:val="18"/>
          <w:szCs w:val="20"/>
        </w:rPr>
        <w:tab/>
        <w:t>Promulgated in accordance with R.S. 39:4 and R.S. 39:1706(C), (D) and (E).</w:t>
      </w:r>
    </w:p>
    <w:p w14:paraId="3B8C1FC4" w14:textId="77777777" w:rsidR="00470D2A" w:rsidRPr="00470D2A" w:rsidRDefault="00470D2A" w:rsidP="00470D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470D2A">
        <w:rPr>
          <w:rFonts w:eastAsia="Times New Roman" w:cs="Times New Roman"/>
          <w:kern w:val="2"/>
          <w:sz w:val="18"/>
          <w:szCs w:val="20"/>
        </w:rPr>
        <w:t>HISTORICAL NOTE:</w:t>
      </w:r>
      <w:r w:rsidRPr="00470D2A">
        <w:rPr>
          <w:rFonts w:eastAsia="Times New Roman" w:cs="Times New Roman"/>
          <w:kern w:val="2"/>
          <w:sz w:val="18"/>
          <w:szCs w:val="20"/>
        </w:rPr>
        <w:tab/>
        <w:t>Promulgated by the Office of the Governor, Division of Administration, Office of State Procurement, LR 42:2063 (October 2015), amended LR 43:1108 (June 2017).</w:t>
      </w:r>
    </w:p>
    <w:p w14:paraId="09AB81AA" w14:textId="77777777" w:rsidR="00470D2A" w:rsidRPr="00470D2A" w:rsidRDefault="00470D2A" w:rsidP="00470D2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1" w:name="_Toc18406434"/>
      <w:bookmarkStart w:id="12" w:name="_Toc214949792"/>
      <w:r w:rsidRPr="00470D2A">
        <w:rPr>
          <w:rFonts w:eastAsia="Times New Roman" w:cs="Times New Roman"/>
          <w:b/>
          <w:kern w:val="2"/>
          <w:szCs w:val="20"/>
        </w:rPr>
        <w:t>§4905.</w:t>
      </w:r>
      <w:r w:rsidRPr="00470D2A">
        <w:rPr>
          <w:rFonts w:eastAsia="Times New Roman" w:cs="Times New Roman"/>
          <w:b/>
          <w:kern w:val="2"/>
          <w:szCs w:val="20"/>
        </w:rPr>
        <w:tab/>
        <w:t>Fee Schedule and Remittance Schedule</w:t>
      </w:r>
      <w:bookmarkEnd w:id="11"/>
      <w:bookmarkEnd w:id="12"/>
    </w:p>
    <w:p w14:paraId="139A19F9" w14:textId="77777777" w:rsidR="00470D2A" w:rsidRPr="00470D2A" w:rsidRDefault="00470D2A" w:rsidP="00470D2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470D2A">
        <w:rPr>
          <w:rFonts w:eastAsia="Times New Roman" w:cs="Times New Roman"/>
          <w:kern w:val="2"/>
          <w:szCs w:val="20"/>
        </w:rPr>
        <w:t>A.</w:t>
      </w:r>
      <w:r w:rsidRPr="00470D2A">
        <w:rPr>
          <w:rFonts w:eastAsia="Times New Roman" w:cs="Times New Roman"/>
          <w:kern w:val="2"/>
          <w:szCs w:val="20"/>
        </w:rPr>
        <w:tab/>
        <w:t xml:space="preserve">The fee shall be contractual and may be </w:t>
      </w:r>
      <w:proofErr w:type="gramStart"/>
      <w:r w:rsidRPr="00470D2A">
        <w:rPr>
          <w:rFonts w:eastAsia="Times New Roman" w:cs="Times New Roman"/>
          <w:kern w:val="2"/>
          <w:szCs w:val="20"/>
        </w:rPr>
        <w:t>negotiated, and</w:t>
      </w:r>
      <w:proofErr w:type="gramEnd"/>
      <w:r w:rsidRPr="00470D2A">
        <w:rPr>
          <w:rFonts w:eastAsia="Times New Roman" w:cs="Times New Roman"/>
          <w:kern w:val="2"/>
          <w:szCs w:val="20"/>
        </w:rPr>
        <w:t xml:space="preserve"> should be a minimum of 1 percent of a vendor’s net aggregate sales under its statewide contract unless agreed to otherwise, or as set forth below. </w:t>
      </w:r>
    </w:p>
    <w:p w14:paraId="19E31650" w14:textId="77777777" w:rsidR="00470D2A" w:rsidRPr="00470D2A" w:rsidRDefault="00470D2A" w:rsidP="00470D2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470D2A">
        <w:rPr>
          <w:rFonts w:eastAsia="Times New Roman" w:cs="Times New Roman"/>
          <w:kern w:val="2"/>
          <w:szCs w:val="20"/>
        </w:rPr>
        <w:t>B.</w:t>
      </w:r>
      <w:r w:rsidRPr="00470D2A">
        <w:rPr>
          <w:rFonts w:eastAsia="Times New Roman" w:cs="Times New Roman"/>
          <w:kern w:val="2"/>
          <w:szCs w:val="20"/>
        </w:rPr>
        <w:tab/>
        <w:t xml:space="preserve">For the subset of statewide contracts whose annual usage by cooperative purchasing units represents 2/3 (66.6 percent) or more of total annual usage, it shall be the standard practice of the Office of State Procurement for the fee to be 2 percent of net aggregate sales. This differentiation reflects that state agencies separately subsidize the cost of contract administration through interagency transfers. </w:t>
      </w:r>
    </w:p>
    <w:tbl>
      <w:tblPr>
        <w:tblW w:w="494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37" w:type="dxa"/>
          <w:left w:w="113" w:type="dxa"/>
          <w:right w:w="73" w:type="dxa"/>
        </w:tblCellMar>
        <w:tblLook w:val="04A0" w:firstRow="1" w:lastRow="0" w:firstColumn="1" w:lastColumn="0" w:noHBand="0" w:noVBand="1"/>
      </w:tblPr>
      <w:tblGrid>
        <w:gridCol w:w="3803"/>
        <w:gridCol w:w="1138"/>
      </w:tblGrid>
      <w:tr w:rsidR="00470D2A" w:rsidRPr="00470D2A" w14:paraId="043C195B" w14:textId="77777777" w:rsidTr="005B29A9">
        <w:trPr>
          <w:cantSplit/>
          <w:trHeight w:val="71"/>
          <w:tblHeader/>
          <w:jc w:val="center"/>
        </w:trPr>
        <w:tc>
          <w:tcPr>
            <w:tcW w:w="4941" w:type="dxa"/>
            <w:gridSpan w:val="2"/>
            <w:shd w:val="clear" w:color="auto" w:fill="BFBFBF"/>
          </w:tcPr>
          <w:p w14:paraId="37DBBF06" w14:textId="77777777" w:rsidR="00470D2A" w:rsidRPr="00470D2A" w:rsidRDefault="00470D2A" w:rsidP="00470D2A">
            <w:pPr>
              <w:keepNext/>
              <w:spacing w:after="0" w:line="240" w:lineRule="auto"/>
              <w:ind w:right="57"/>
              <w:jc w:val="center"/>
              <w:rPr>
                <w:rFonts w:eastAsia="Times New Roman" w:cs="Times New Roman"/>
                <w:b/>
                <w:color w:val="000000"/>
                <w:sz w:val="16"/>
                <w:szCs w:val="16"/>
              </w:rPr>
            </w:pPr>
            <w:r w:rsidRPr="00470D2A">
              <w:rPr>
                <w:rFonts w:eastAsia="Calibri" w:cs="Times New Roman"/>
                <w:b/>
                <w:color w:val="000000"/>
                <w:sz w:val="16"/>
                <w:szCs w:val="16"/>
              </w:rPr>
              <w:t>Schedule of Fees</w:t>
            </w:r>
          </w:p>
        </w:tc>
      </w:tr>
      <w:tr w:rsidR="00470D2A" w:rsidRPr="00470D2A" w14:paraId="5660688A" w14:textId="77777777" w:rsidTr="005B29A9">
        <w:trPr>
          <w:cantSplit/>
          <w:tblHeader/>
          <w:jc w:val="center"/>
        </w:trPr>
        <w:tc>
          <w:tcPr>
            <w:tcW w:w="3803" w:type="dxa"/>
            <w:shd w:val="clear" w:color="auto" w:fill="BFBFBF"/>
          </w:tcPr>
          <w:p w14:paraId="10A5792D" w14:textId="77777777" w:rsidR="00470D2A" w:rsidRPr="00470D2A" w:rsidRDefault="00470D2A" w:rsidP="00470D2A">
            <w:pPr>
              <w:keepNext/>
              <w:spacing w:after="0" w:line="240" w:lineRule="auto"/>
              <w:jc w:val="center"/>
              <w:rPr>
                <w:rFonts w:eastAsia="Times New Roman" w:cs="Times New Roman"/>
                <w:b/>
                <w:color w:val="000000"/>
                <w:sz w:val="16"/>
                <w:szCs w:val="16"/>
              </w:rPr>
            </w:pPr>
            <w:r w:rsidRPr="00470D2A">
              <w:rPr>
                <w:rFonts w:eastAsia="Calibri" w:cs="Times New Roman"/>
                <w:b/>
                <w:color w:val="000000"/>
                <w:sz w:val="16"/>
                <w:szCs w:val="16"/>
              </w:rPr>
              <w:t>Category</w:t>
            </w:r>
          </w:p>
        </w:tc>
        <w:tc>
          <w:tcPr>
            <w:tcW w:w="1138" w:type="dxa"/>
            <w:shd w:val="clear" w:color="auto" w:fill="BFBFBF"/>
          </w:tcPr>
          <w:p w14:paraId="372660E8" w14:textId="77777777" w:rsidR="00470D2A" w:rsidRPr="00470D2A" w:rsidRDefault="00470D2A" w:rsidP="00470D2A">
            <w:pPr>
              <w:keepNext/>
              <w:spacing w:after="0" w:line="240" w:lineRule="auto"/>
              <w:ind w:left="-113" w:right="-46"/>
              <w:jc w:val="center"/>
              <w:rPr>
                <w:rFonts w:eastAsia="Times New Roman" w:cs="Times New Roman"/>
                <w:b/>
                <w:color w:val="000000"/>
                <w:sz w:val="16"/>
                <w:szCs w:val="16"/>
              </w:rPr>
            </w:pPr>
            <w:r w:rsidRPr="00470D2A">
              <w:rPr>
                <w:rFonts w:eastAsia="Calibri" w:cs="Times New Roman"/>
                <w:b/>
                <w:color w:val="000000"/>
                <w:sz w:val="16"/>
                <w:szCs w:val="16"/>
              </w:rPr>
              <w:t>Fee Percentage</w:t>
            </w:r>
          </w:p>
        </w:tc>
      </w:tr>
      <w:tr w:rsidR="00470D2A" w:rsidRPr="00470D2A" w14:paraId="1A4AAFD0" w14:textId="77777777" w:rsidTr="005B29A9">
        <w:trPr>
          <w:cantSplit/>
          <w:jc w:val="center"/>
        </w:trPr>
        <w:tc>
          <w:tcPr>
            <w:tcW w:w="3803" w:type="dxa"/>
            <w:shd w:val="clear" w:color="auto" w:fill="FFFFFF"/>
          </w:tcPr>
          <w:p w14:paraId="4B97622E" w14:textId="77777777" w:rsidR="00470D2A" w:rsidRPr="00470D2A" w:rsidRDefault="00470D2A" w:rsidP="00470D2A">
            <w:pPr>
              <w:keepNext/>
              <w:spacing w:after="0" w:line="240" w:lineRule="auto"/>
              <w:rPr>
                <w:rFonts w:eastAsia="Times New Roman" w:cs="Times New Roman"/>
                <w:color w:val="000000"/>
                <w:sz w:val="16"/>
                <w:szCs w:val="16"/>
              </w:rPr>
            </w:pPr>
            <w:r w:rsidRPr="00470D2A">
              <w:rPr>
                <w:rFonts w:eastAsia="Calibri" w:cs="Times New Roman"/>
                <w:color w:val="000000"/>
                <w:sz w:val="16"/>
                <w:szCs w:val="16"/>
              </w:rPr>
              <w:t>Regular statewide contracts (up to 66.5% cooperative usage)</w:t>
            </w:r>
          </w:p>
        </w:tc>
        <w:tc>
          <w:tcPr>
            <w:tcW w:w="1138" w:type="dxa"/>
            <w:shd w:val="clear" w:color="auto" w:fill="FFFFFF"/>
            <w:vAlign w:val="center"/>
          </w:tcPr>
          <w:p w14:paraId="099E55B5" w14:textId="77777777" w:rsidR="00470D2A" w:rsidRPr="00470D2A" w:rsidRDefault="00470D2A" w:rsidP="00470D2A">
            <w:pPr>
              <w:keepNext/>
              <w:spacing w:after="0" w:line="240" w:lineRule="auto"/>
              <w:jc w:val="center"/>
              <w:rPr>
                <w:rFonts w:eastAsia="Times New Roman" w:cs="Times New Roman"/>
                <w:color w:val="000000"/>
                <w:sz w:val="16"/>
                <w:szCs w:val="16"/>
              </w:rPr>
            </w:pPr>
            <w:r w:rsidRPr="00470D2A">
              <w:rPr>
                <w:rFonts w:eastAsia="Calibri" w:cs="Times New Roman"/>
                <w:color w:val="000000"/>
                <w:sz w:val="16"/>
                <w:szCs w:val="16"/>
              </w:rPr>
              <w:t>1.00%</w:t>
            </w:r>
          </w:p>
        </w:tc>
      </w:tr>
      <w:tr w:rsidR="00470D2A" w:rsidRPr="00470D2A" w14:paraId="447B5CCA" w14:textId="77777777" w:rsidTr="005B29A9">
        <w:trPr>
          <w:cantSplit/>
          <w:jc w:val="center"/>
        </w:trPr>
        <w:tc>
          <w:tcPr>
            <w:tcW w:w="3803" w:type="dxa"/>
            <w:shd w:val="clear" w:color="auto" w:fill="FFFFFF"/>
          </w:tcPr>
          <w:p w14:paraId="3E4774BC" w14:textId="77777777" w:rsidR="00470D2A" w:rsidRPr="00470D2A" w:rsidRDefault="00470D2A" w:rsidP="00470D2A">
            <w:pPr>
              <w:spacing w:after="0" w:line="240" w:lineRule="auto"/>
              <w:ind w:right="-73"/>
              <w:rPr>
                <w:rFonts w:eastAsia="Times New Roman" w:cs="Times New Roman"/>
                <w:color w:val="000000"/>
                <w:sz w:val="16"/>
                <w:szCs w:val="16"/>
              </w:rPr>
            </w:pPr>
            <w:r w:rsidRPr="00470D2A">
              <w:rPr>
                <w:rFonts w:eastAsia="Calibri" w:cs="Times New Roman"/>
                <w:color w:val="000000"/>
                <w:sz w:val="16"/>
                <w:szCs w:val="16"/>
              </w:rPr>
              <w:t>Primarily non-State usage contracts (66.6%+ cooperative usage)</w:t>
            </w:r>
          </w:p>
        </w:tc>
        <w:tc>
          <w:tcPr>
            <w:tcW w:w="1138" w:type="dxa"/>
            <w:shd w:val="clear" w:color="auto" w:fill="FFFFFF"/>
            <w:vAlign w:val="center"/>
          </w:tcPr>
          <w:p w14:paraId="565636A6" w14:textId="77777777" w:rsidR="00470D2A" w:rsidRPr="00470D2A" w:rsidRDefault="00470D2A" w:rsidP="00470D2A">
            <w:pPr>
              <w:spacing w:after="0" w:line="240" w:lineRule="auto"/>
              <w:jc w:val="center"/>
              <w:rPr>
                <w:rFonts w:eastAsia="Times New Roman" w:cs="Times New Roman"/>
                <w:color w:val="000000"/>
                <w:sz w:val="16"/>
                <w:szCs w:val="16"/>
              </w:rPr>
            </w:pPr>
            <w:r w:rsidRPr="00470D2A">
              <w:rPr>
                <w:rFonts w:eastAsia="Calibri" w:cs="Times New Roman"/>
                <w:color w:val="000000"/>
                <w:sz w:val="16"/>
                <w:szCs w:val="16"/>
              </w:rPr>
              <w:t>2.00%</w:t>
            </w:r>
          </w:p>
        </w:tc>
      </w:tr>
    </w:tbl>
    <w:p w14:paraId="4BA38D18" w14:textId="77777777" w:rsidR="00470D2A" w:rsidRPr="00470D2A" w:rsidRDefault="00470D2A" w:rsidP="00470D2A">
      <w:pPr>
        <w:tabs>
          <w:tab w:val="left" w:pos="187"/>
          <w:tab w:val="left" w:pos="540"/>
          <w:tab w:val="left" w:pos="4500"/>
          <w:tab w:val="left" w:pos="4680"/>
          <w:tab w:val="left" w:pos="4860"/>
          <w:tab w:val="left" w:pos="5040"/>
          <w:tab w:val="left" w:pos="7200"/>
        </w:tabs>
        <w:spacing w:after="0" w:line="240" w:lineRule="auto"/>
        <w:ind w:firstLine="187"/>
        <w:jc w:val="both"/>
        <w:outlineLvl w:val="3"/>
        <w:rPr>
          <w:rFonts w:eastAsia="Times New Roman" w:cs="Times New Roman"/>
          <w:kern w:val="2"/>
          <w:szCs w:val="20"/>
        </w:rPr>
      </w:pPr>
    </w:p>
    <w:p w14:paraId="5C68B825" w14:textId="77777777" w:rsidR="00470D2A" w:rsidRPr="00470D2A" w:rsidRDefault="00470D2A" w:rsidP="00470D2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470D2A">
        <w:rPr>
          <w:rFonts w:eastAsia="Times New Roman" w:cs="Times New Roman"/>
          <w:kern w:val="2"/>
          <w:szCs w:val="20"/>
        </w:rPr>
        <w:t>C.</w:t>
      </w:r>
      <w:r w:rsidRPr="00470D2A">
        <w:rPr>
          <w:rFonts w:eastAsia="Times New Roman" w:cs="Times New Roman"/>
          <w:kern w:val="2"/>
          <w:szCs w:val="20"/>
        </w:rPr>
        <w:tab/>
        <w:t>The fee should be remitted by the vendor to the Office of State Procurement in accordance with the remittance schedule below, unless specified otherwise in the contract.</w:t>
      </w:r>
    </w:p>
    <w:tbl>
      <w:tblPr>
        <w:tblW w:w="5005" w:type="dxa"/>
        <w:jc w:val="center"/>
        <w:tblCellMar>
          <w:top w:w="37" w:type="dxa"/>
          <w:left w:w="113" w:type="dxa"/>
          <w:right w:w="73" w:type="dxa"/>
        </w:tblCellMar>
        <w:tblLook w:val="04A0" w:firstRow="1" w:lastRow="0" w:firstColumn="1" w:lastColumn="0" w:noHBand="0" w:noVBand="1"/>
      </w:tblPr>
      <w:tblGrid>
        <w:gridCol w:w="1167"/>
        <w:gridCol w:w="1947"/>
        <w:gridCol w:w="1891"/>
      </w:tblGrid>
      <w:tr w:rsidR="00470D2A" w:rsidRPr="00470D2A" w14:paraId="539250C8" w14:textId="77777777" w:rsidTr="005B29A9">
        <w:trPr>
          <w:cantSplit/>
          <w:trHeight w:val="71"/>
          <w:tblHeader/>
          <w:jc w:val="center"/>
        </w:trPr>
        <w:tc>
          <w:tcPr>
            <w:tcW w:w="5005" w:type="dxa"/>
            <w:gridSpan w:val="3"/>
            <w:tcBorders>
              <w:top w:val="double" w:sz="6" w:space="0" w:color="000000"/>
              <w:left w:val="double" w:sz="6" w:space="0" w:color="000000"/>
              <w:bottom w:val="single" w:sz="6" w:space="0" w:color="000000"/>
              <w:right w:val="double" w:sz="6" w:space="0" w:color="000000"/>
            </w:tcBorders>
            <w:shd w:val="clear" w:color="auto" w:fill="BFBFBF"/>
          </w:tcPr>
          <w:p w14:paraId="386D48E5" w14:textId="77777777" w:rsidR="00470D2A" w:rsidRPr="00470D2A" w:rsidRDefault="00470D2A" w:rsidP="00470D2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0" w:line="240" w:lineRule="auto"/>
              <w:ind w:firstLine="187"/>
              <w:jc w:val="center"/>
              <w:outlineLvl w:val="3"/>
              <w:rPr>
                <w:rFonts w:eastAsia="Times New Roman" w:cs="Times New Roman"/>
                <w:b/>
                <w:kern w:val="2"/>
                <w:sz w:val="16"/>
                <w:szCs w:val="16"/>
              </w:rPr>
            </w:pPr>
            <w:r w:rsidRPr="00470D2A">
              <w:rPr>
                <w:rFonts w:eastAsia="Calibri" w:cs="Times New Roman"/>
                <w:b/>
                <w:kern w:val="2"/>
                <w:sz w:val="16"/>
                <w:szCs w:val="16"/>
              </w:rPr>
              <w:lastRenderedPageBreak/>
              <w:t>Remittance Schedule</w:t>
            </w:r>
          </w:p>
        </w:tc>
      </w:tr>
      <w:tr w:rsidR="00470D2A" w:rsidRPr="00470D2A" w14:paraId="18591329" w14:textId="77777777" w:rsidTr="005B29A9">
        <w:trPr>
          <w:cantSplit/>
          <w:trHeight w:val="21"/>
          <w:tblHeader/>
          <w:jc w:val="center"/>
        </w:trPr>
        <w:tc>
          <w:tcPr>
            <w:tcW w:w="1167" w:type="dxa"/>
            <w:tcBorders>
              <w:top w:val="single" w:sz="6" w:space="0" w:color="000000"/>
              <w:left w:val="double" w:sz="6" w:space="0" w:color="000000"/>
              <w:bottom w:val="single" w:sz="6" w:space="0" w:color="000000"/>
              <w:right w:val="single" w:sz="6" w:space="0" w:color="000000"/>
            </w:tcBorders>
            <w:shd w:val="clear" w:color="auto" w:fill="BFBFBF"/>
          </w:tcPr>
          <w:p w14:paraId="2F31EF76" w14:textId="77777777" w:rsidR="00470D2A" w:rsidRPr="00470D2A" w:rsidRDefault="00470D2A" w:rsidP="00470D2A">
            <w:pPr>
              <w:keepNext/>
              <w:spacing w:after="0" w:line="240" w:lineRule="auto"/>
              <w:ind w:left="-58" w:right="-41"/>
              <w:jc w:val="center"/>
              <w:rPr>
                <w:rFonts w:eastAsia="Times New Roman" w:cs="Times New Roman"/>
                <w:b/>
                <w:color w:val="000000"/>
                <w:sz w:val="16"/>
                <w:szCs w:val="16"/>
              </w:rPr>
            </w:pPr>
            <w:r w:rsidRPr="00470D2A">
              <w:rPr>
                <w:rFonts w:eastAsia="Calibri" w:cs="Times New Roman"/>
                <w:b/>
                <w:color w:val="000000"/>
                <w:sz w:val="16"/>
                <w:szCs w:val="16"/>
              </w:rPr>
              <w:t>Fiscal Quarters</w:t>
            </w:r>
          </w:p>
        </w:tc>
        <w:tc>
          <w:tcPr>
            <w:tcW w:w="1947" w:type="dxa"/>
            <w:tcBorders>
              <w:top w:val="single" w:sz="6" w:space="0" w:color="000000"/>
              <w:left w:val="single" w:sz="6" w:space="0" w:color="000000"/>
              <w:bottom w:val="single" w:sz="6" w:space="0" w:color="000000"/>
              <w:right w:val="single" w:sz="6" w:space="0" w:color="000000"/>
            </w:tcBorders>
            <w:shd w:val="clear" w:color="auto" w:fill="BFBFBF"/>
          </w:tcPr>
          <w:p w14:paraId="29BC3D70" w14:textId="77777777" w:rsidR="00470D2A" w:rsidRPr="00470D2A" w:rsidRDefault="00470D2A" w:rsidP="00470D2A">
            <w:pPr>
              <w:keepNext/>
              <w:spacing w:after="0" w:line="240" w:lineRule="auto"/>
              <w:jc w:val="center"/>
              <w:rPr>
                <w:rFonts w:eastAsia="Times New Roman" w:cs="Times New Roman"/>
                <w:b/>
                <w:color w:val="000000"/>
                <w:sz w:val="16"/>
                <w:szCs w:val="16"/>
              </w:rPr>
            </w:pPr>
            <w:r w:rsidRPr="00470D2A">
              <w:rPr>
                <w:rFonts w:eastAsia="Calibri" w:cs="Times New Roman"/>
                <w:b/>
                <w:color w:val="000000"/>
                <w:sz w:val="16"/>
                <w:szCs w:val="16"/>
              </w:rPr>
              <w:t>Months</w:t>
            </w:r>
          </w:p>
        </w:tc>
        <w:tc>
          <w:tcPr>
            <w:tcW w:w="1891" w:type="dxa"/>
            <w:tcBorders>
              <w:top w:val="single" w:sz="6" w:space="0" w:color="000000"/>
              <w:left w:val="single" w:sz="6" w:space="0" w:color="000000"/>
              <w:bottom w:val="single" w:sz="6" w:space="0" w:color="000000"/>
              <w:right w:val="double" w:sz="6" w:space="0" w:color="000000"/>
            </w:tcBorders>
            <w:shd w:val="clear" w:color="auto" w:fill="BFBFBF"/>
          </w:tcPr>
          <w:p w14:paraId="358DB4AD" w14:textId="77777777" w:rsidR="00470D2A" w:rsidRPr="00470D2A" w:rsidRDefault="00470D2A" w:rsidP="00470D2A">
            <w:pPr>
              <w:keepNext/>
              <w:spacing w:after="0" w:line="240" w:lineRule="auto"/>
              <w:jc w:val="center"/>
              <w:rPr>
                <w:rFonts w:eastAsia="Times New Roman" w:cs="Times New Roman"/>
                <w:b/>
                <w:color w:val="000000"/>
                <w:sz w:val="16"/>
                <w:szCs w:val="16"/>
              </w:rPr>
            </w:pPr>
            <w:r w:rsidRPr="00470D2A">
              <w:rPr>
                <w:rFonts w:eastAsia="Calibri" w:cs="Times New Roman"/>
                <w:b/>
                <w:color w:val="000000"/>
                <w:sz w:val="16"/>
                <w:szCs w:val="16"/>
              </w:rPr>
              <w:t>Vendor’s Due Date</w:t>
            </w:r>
          </w:p>
        </w:tc>
      </w:tr>
      <w:tr w:rsidR="00470D2A" w:rsidRPr="00470D2A" w14:paraId="6E04CE85" w14:textId="77777777" w:rsidTr="005B29A9">
        <w:trPr>
          <w:cantSplit/>
          <w:trHeight w:val="21"/>
          <w:jc w:val="center"/>
        </w:trPr>
        <w:tc>
          <w:tcPr>
            <w:tcW w:w="1167" w:type="dxa"/>
            <w:tcBorders>
              <w:top w:val="single" w:sz="6" w:space="0" w:color="000000"/>
              <w:left w:val="double" w:sz="6" w:space="0" w:color="000000"/>
              <w:bottom w:val="single" w:sz="6" w:space="0" w:color="000000"/>
              <w:right w:val="single" w:sz="6" w:space="0" w:color="000000"/>
            </w:tcBorders>
          </w:tcPr>
          <w:p w14:paraId="2C40DC38"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Quarter 1 </w:t>
            </w:r>
          </w:p>
        </w:tc>
        <w:tc>
          <w:tcPr>
            <w:tcW w:w="1947" w:type="dxa"/>
            <w:tcBorders>
              <w:top w:val="single" w:sz="6" w:space="0" w:color="000000"/>
              <w:left w:val="single" w:sz="6" w:space="0" w:color="000000"/>
              <w:bottom w:val="single" w:sz="6" w:space="0" w:color="000000"/>
              <w:right w:val="single" w:sz="6" w:space="0" w:color="000000"/>
            </w:tcBorders>
          </w:tcPr>
          <w:p w14:paraId="4F4D1F64"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July 1st -September 30th </w:t>
            </w:r>
          </w:p>
        </w:tc>
        <w:tc>
          <w:tcPr>
            <w:tcW w:w="1891" w:type="dxa"/>
            <w:tcBorders>
              <w:top w:val="single" w:sz="6" w:space="0" w:color="000000"/>
              <w:left w:val="single" w:sz="6" w:space="0" w:color="000000"/>
              <w:bottom w:val="single" w:sz="6" w:space="0" w:color="000000"/>
              <w:right w:val="double" w:sz="6" w:space="0" w:color="000000"/>
            </w:tcBorders>
          </w:tcPr>
          <w:p w14:paraId="5CBA315E"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October 31st </w:t>
            </w:r>
          </w:p>
        </w:tc>
      </w:tr>
      <w:tr w:rsidR="00470D2A" w:rsidRPr="00470D2A" w14:paraId="3F6140BE" w14:textId="77777777" w:rsidTr="005B29A9">
        <w:trPr>
          <w:cantSplit/>
          <w:trHeight w:val="21"/>
          <w:jc w:val="center"/>
        </w:trPr>
        <w:tc>
          <w:tcPr>
            <w:tcW w:w="1167" w:type="dxa"/>
            <w:tcBorders>
              <w:top w:val="single" w:sz="6" w:space="0" w:color="000000"/>
              <w:left w:val="double" w:sz="6" w:space="0" w:color="000000"/>
              <w:bottom w:val="single" w:sz="6" w:space="0" w:color="000000"/>
              <w:right w:val="single" w:sz="6" w:space="0" w:color="000000"/>
            </w:tcBorders>
          </w:tcPr>
          <w:p w14:paraId="4973A952"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Quarter 2 </w:t>
            </w:r>
          </w:p>
        </w:tc>
        <w:tc>
          <w:tcPr>
            <w:tcW w:w="1947" w:type="dxa"/>
            <w:tcBorders>
              <w:top w:val="single" w:sz="6" w:space="0" w:color="000000"/>
              <w:left w:val="single" w:sz="6" w:space="0" w:color="000000"/>
              <w:bottom w:val="single" w:sz="6" w:space="0" w:color="000000"/>
              <w:right w:val="single" w:sz="6" w:space="0" w:color="000000"/>
            </w:tcBorders>
          </w:tcPr>
          <w:p w14:paraId="753382EE" w14:textId="77777777" w:rsidR="00470D2A" w:rsidRPr="00470D2A" w:rsidRDefault="00470D2A" w:rsidP="00470D2A">
            <w:pPr>
              <w:spacing w:after="0" w:line="240" w:lineRule="auto"/>
              <w:ind w:right="-74" w:hanging="23"/>
              <w:rPr>
                <w:rFonts w:eastAsia="Times New Roman" w:cs="Times New Roman"/>
                <w:color w:val="000000"/>
                <w:sz w:val="16"/>
                <w:szCs w:val="16"/>
              </w:rPr>
            </w:pPr>
            <w:r w:rsidRPr="00470D2A">
              <w:rPr>
                <w:rFonts w:eastAsia="Calibri" w:cs="Times New Roman"/>
                <w:color w:val="000000"/>
                <w:sz w:val="16"/>
                <w:szCs w:val="16"/>
              </w:rPr>
              <w:t>October 1st -December 31st</w:t>
            </w:r>
          </w:p>
        </w:tc>
        <w:tc>
          <w:tcPr>
            <w:tcW w:w="1891" w:type="dxa"/>
            <w:tcBorders>
              <w:top w:val="single" w:sz="6" w:space="0" w:color="000000"/>
              <w:left w:val="single" w:sz="6" w:space="0" w:color="000000"/>
              <w:bottom w:val="single" w:sz="6" w:space="0" w:color="000000"/>
              <w:right w:val="double" w:sz="6" w:space="0" w:color="000000"/>
            </w:tcBorders>
          </w:tcPr>
          <w:p w14:paraId="5432E3FD"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January 31st </w:t>
            </w:r>
          </w:p>
        </w:tc>
      </w:tr>
      <w:tr w:rsidR="00470D2A" w:rsidRPr="00470D2A" w14:paraId="479BD2F8" w14:textId="77777777" w:rsidTr="005B29A9">
        <w:trPr>
          <w:cantSplit/>
          <w:trHeight w:val="29"/>
          <w:jc w:val="center"/>
        </w:trPr>
        <w:tc>
          <w:tcPr>
            <w:tcW w:w="1167" w:type="dxa"/>
            <w:tcBorders>
              <w:top w:val="single" w:sz="6" w:space="0" w:color="000000"/>
              <w:left w:val="double" w:sz="6" w:space="0" w:color="000000"/>
              <w:bottom w:val="single" w:sz="6" w:space="0" w:color="000000"/>
              <w:right w:val="single" w:sz="6" w:space="0" w:color="000000"/>
            </w:tcBorders>
          </w:tcPr>
          <w:p w14:paraId="10FD9F14"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Quarter 3 </w:t>
            </w:r>
          </w:p>
        </w:tc>
        <w:tc>
          <w:tcPr>
            <w:tcW w:w="1947" w:type="dxa"/>
            <w:tcBorders>
              <w:top w:val="single" w:sz="6" w:space="0" w:color="000000"/>
              <w:left w:val="single" w:sz="6" w:space="0" w:color="000000"/>
              <w:bottom w:val="single" w:sz="6" w:space="0" w:color="000000"/>
              <w:right w:val="single" w:sz="6" w:space="0" w:color="000000"/>
            </w:tcBorders>
          </w:tcPr>
          <w:p w14:paraId="6CCC84E0"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January 1st -March 31st </w:t>
            </w:r>
          </w:p>
        </w:tc>
        <w:tc>
          <w:tcPr>
            <w:tcW w:w="1891" w:type="dxa"/>
            <w:tcBorders>
              <w:top w:val="single" w:sz="6" w:space="0" w:color="000000"/>
              <w:left w:val="single" w:sz="6" w:space="0" w:color="000000"/>
              <w:bottom w:val="single" w:sz="6" w:space="0" w:color="000000"/>
              <w:right w:val="double" w:sz="6" w:space="0" w:color="000000"/>
            </w:tcBorders>
          </w:tcPr>
          <w:p w14:paraId="7D127191"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April 30th </w:t>
            </w:r>
          </w:p>
        </w:tc>
      </w:tr>
      <w:tr w:rsidR="00470D2A" w:rsidRPr="00470D2A" w14:paraId="20D6D735" w14:textId="77777777" w:rsidTr="005B29A9">
        <w:trPr>
          <w:cantSplit/>
          <w:trHeight w:val="21"/>
          <w:jc w:val="center"/>
        </w:trPr>
        <w:tc>
          <w:tcPr>
            <w:tcW w:w="1167" w:type="dxa"/>
            <w:tcBorders>
              <w:top w:val="single" w:sz="6" w:space="0" w:color="000000"/>
              <w:left w:val="double" w:sz="6" w:space="0" w:color="000000"/>
              <w:bottom w:val="single" w:sz="6" w:space="0" w:color="000000"/>
              <w:right w:val="single" w:sz="6" w:space="0" w:color="000000"/>
            </w:tcBorders>
          </w:tcPr>
          <w:p w14:paraId="3FF94158"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Quarter 4 </w:t>
            </w:r>
          </w:p>
        </w:tc>
        <w:tc>
          <w:tcPr>
            <w:tcW w:w="1947" w:type="dxa"/>
            <w:tcBorders>
              <w:top w:val="single" w:sz="6" w:space="0" w:color="000000"/>
              <w:left w:val="single" w:sz="6" w:space="0" w:color="000000"/>
              <w:bottom w:val="single" w:sz="6" w:space="0" w:color="000000"/>
              <w:right w:val="single" w:sz="6" w:space="0" w:color="000000"/>
            </w:tcBorders>
          </w:tcPr>
          <w:p w14:paraId="584CB139"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April 1st -June 30th </w:t>
            </w:r>
          </w:p>
        </w:tc>
        <w:tc>
          <w:tcPr>
            <w:tcW w:w="1891" w:type="dxa"/>
            <w:tcBorders>
              <w:top w:val="single" w:sz="6" w:space="0" w:color="000000"/>
              <w:left w:val="single" w:sz="6" w:space="0" w:color="000000"/>
              <w:bottom w:val="single" w:sz="6" w:space="0" w:color="000000"/>
              <w:right w:val="double" w:sz="6" w:space="0" w:color="000000"/>
            </w:tcBorders>
          </w:tcPr>
          <w:p w14:paraId="1137B2E6"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July 31st </w:t>
            </w:r>
          </w:p>
        </w:tc>
      </w:tr>
      <w:tr w:rsidR="00470D2A" w:rsidRPr="00470D2A" w14:paraId="04AC97AD" w14:textId="77777777" w:rsidTr="005B29A9">
        <w:trPr>
          <w:cantSplit/>
          <w:trHeight w:val="461"/>
          <w:jc w:val="center"/>
        </w:trPr>
        <w:tc>
          <w:tcPr>
            <w:tcW w:w="1167" w:type="dxa"/>
            <w:tcBorders>
              <w:top w:val="single" w:sz="6" w:space="0" w:color="000000"/>
              <w:left w:val="double" w:sz="6" w:space="0" w:color="000000"/>
              <w:bottom w:val="double" w:sz="6" w:space="0" w:color="000000"/>
              <w:right w:val="single" w:sz="6" w:space="0" w:color="000000"/>
            </w:tcBorders>
          </w:tcPr>
          <w:p w14:paraId="6D0AC1D3"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 </w:t>
            </w:r>
          </w:p>
        </w:tc>
        <w:tc>
          <w:tcPr>
            <w:tcW w:w="1947" w:type="dxa"/>
            <w:tcBorders>
              <w:top w:val="single" w:sz="6" w:space="0" w:color="000000"/>
              <w:left w:val="single" w:sz="6" w:space="0" w:color="000000"/>
              <w:bottom w:val="double" w:sz="6" w:space="0" w:color="000000"/>
              <w:right w:val="single" w:sz="6" w:space="0" w:color="000000"/>
            </w:tcBorders>
          </w:tcPr>
          <w:p w14:paraId="50BAB6FC"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 </w:t>
            </w:r>
          </w:p>
        </w:tc>
        <w:tc>
          <w:tcPr>
            <w:tcW w:w="1891" w:type="dxa"/>
            <w:tcBorders>
              <w:top w:val="single" w:sz="6" w:space="0" w:color="000000"/>
              <w:left w:val="single" w:sz="6" w:space="0" w:color="000000"/>
              <w:bottom w:val="double" w:sz="6" w:space="0" w:color="000000"/>
              <w:right w:val="double" w:sz="6" w:space="0" w:color="000000"/>
            </w:tcBorders>
          </w:tcPr>
          <w:p w14:paraId="260ABACA" w14:textId="77777777" w:rsidR="00470D2A" w:rsidRPr="00470D2A" w:rsidRDefault="00470D2A" w:rsidP="00470D2A">
            <w:pPr>
              <w:spacing w:after="0" w:line="240" w:lineRule="auto"/>
              <w:ind w:hanging="23"/>
              <w:rPr>
                <w:rFonts w:eastAsia="Times New Roman" w:cs="Times New Roman"/>
                <w:color w:val="000000"/>
                <w:sz w:val="16"/>
                <w:szCs w:val="16"/>
              </w:rPr>
            </w:pPr>
            <w:r w:rsidRPr="00470D2A">
              <w:rPr>
                <w:rFonts w:eastAsia="Calibri" w:cs="Times New Roman"/>
                <w:color w:val="000000"/>
                <w:sz w:val="16"/>
                <w:szCs w:val="16"/>
              </w:rPr>
              <w:t xml:space="preserve">15 Calendar Days following the termination of the contract for any reason </w:t>
            </w:r>
          </w:p>
        </w:tc>
      </w:tr>
    </w:tbl>
    <w:p w14:paraId="6C43757A" w14:textId="77777777" w:rsidR="00470D2A" w:rsidRPr="00470D2A" w:rsidRDefault="00470D2A" w:rsidP="00470D2A">
      <w:pPr>
        <w:spacing w:after="0" w:line="240" w:lineRule="auto"/>
        <w:rPr>
          <w:rFonts w:eastAsia="Times New Roman" w:cs="Times New Roman"/>
          <w:szCs w:val="20"/>
        </w:rPr>
      </w:pPr>
    </w:p>
    <w:p w14:paraId="72FEBAE9" w14:textId="77777777" w:rsidR="00470D2A" w:rsidRPr="00470D2A" w:rsidRDefault="00470D2A" w:rsidP="00470D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470D2A">
        <w:rPr>
          <w:rFonts w:eastAsia="Times New Roman" w:cs="Times New Roman"/>
          <w:kern w:val="2"/>
          <w:sz w:val="18"/>
          <w:szCs w:val="20"/>
        </w:rPr>
        <w:t>AUTHORITY NOTE:</w:t>
      </w:r>
      <w:r w:rsidRPr="00470D2A">
        <w:rPr>
          <w:rFonts w:eastAsia="Times New Roman" w:cs="Times New Roman"/>
          <w:kern w:val="2"/>
          <w:sz w:val="18"/>
          <w:szCs w:val="20"/>
        </w:rPr>
        <w:tab/>
        <w:t xml:space="preserve">Promulgated in accordance with R.S. 39:4 and R.S. 39:1706(C), (D) and (E). </w:t>
      </w:r>
    </w:p>
    <w:p w14:paraId="31556492" w14:textId="77777777" w:rsidR="00470D2A" w:rsidRPr="00470D2A" w:rsidRDefault="00470D2A" w:rsidP="00470D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470D2A">
        <w:rPr>
          <w:rFonts w:eastAsia="Times New Roman" w:cs="Times New Roman"/>
          <w:kern w:val="2"/>
          <w:sz w:val="18"/>
          <w:szCs w:val="20"/>
        </w:rPr>
        <w:t>HISTORICAL NOTE:</w:t>
      </w:r>
      <w:r w:rsidRPr="00470D2A">
        <w:rPr>
          <w:rFonts w:eastAsia="Times New Roman" w:cs="Times New Roman"/>
          <w:kern w:val="2"/>
          <w:sz w:val="18"/>
          <w:szCs w:val="20"/>
        </w:rPr>
        <w:tab/>
        <w:t>Promulgated by the Office of the Governor, Division of Administration, Office of State Procurement, LR 42:2063 (October 2015), amended LR 43:1108 (June 2017).</w:t>
      </w:r>
    </w:p>
    <w:p w14:paraId="34000C7B" w14:textId="77777777" w:rsidR="00470D2A" w:rsidRPr="00470D2A" w:rsidRDefault="00470D2A" w:rsidP="00470D2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3" w:name="_Toc18406435"/>
      <w:bookmarkStart w:id="14" w:name="_Toc214949793"/>
      <w:r w:rsidRPr="00470D2A">
        <w:rPr>
          <w:rFonts w:eastAsia="Times New Roman" w:cs="Times New Roman"/>
          <w:b/>
          <w:kern w:val="2"/>
          <w:szCs w:val="20"/>
        </w:rPr>
        <w:t>§4907.</w:t>
      </w:r>
      <w:r w:rsidRPr="00470D2A">
        <w:rPr>
          <w:rFonts w:eastAsia="Times New Roman" w:cs="Times New Roman"/>
          <w:b/>
          <w:kern w:val="2"/>
          <w:szCs w:val="20"/>
        </w:rPr>
        <w:tab/>
        <w:t>Waiver</w:t>
      </w:r>
      <w:bookmarkEnd w:id="13"/>
      <w:bookmarkEnd w:id="14"/>
    </w:p>
    <w:p w14:paraId="00EBA38D" w14:textId="77777777" w:rsidR="00470D2A" w:rsidRPr="00470D2A" w:rsidRDefault="00470D2A" w:rsidP="00470D2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470D2A">
        <w:rPr>
          <w:rFonts w:eastAsia="Times New Roman" w:cs="Times New Roman"/>
          <w:kern w:val="2"/>
          <w:szCs w:val="20"/>
        </w:rPr>
        <w:t>A.</w:t>
      </w:r>
      <w:r w:rsidRPr="00470D2A">
        <w:rPr>
          <w:rFonts w:eastAsia="Times New Roman" w:cs="Times New Roman"/>
          <w:kern w:val="2"/>
          <w:szCs w:val="20"/>
        </w:rPr>
        <w:tab/>
        <w:t xml:space="preserve">Nothing in this policy shall prevent the Office of State Procurement from modifying the fee where the best interests of the state are served or from devising and contracting for additional or alternate methods of recouping costs associated with cooperative purchasing opportunities. </w:t>
      </w:r>
    </w:p>
    <w:p w14:paraId="6AEE1C08" w14:textId="77777777" w:rsidR="00470D2A" w:rsidRPr="00470D2A" w:rsidRDefault="00470D2A" w:rsidP="00470D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Cs w:val="20"/>
        </w:rPr>
      </w:pPr>
      <w:r w:rsidRPr="00470D2A">
        <w:rPr>
          <w:rFonts w:eastAsia="Times New Roman" w:cs="Times New Roman"/>
          <w:kern w:val="2"/>
          <w:sz w:val="18"/>
          <w:szCs w:val="20"/>
        </w:rPr>
        <w:t>AUTHORITY NOTE:</w:t>
      </w:r>
      <w:r w:rsidRPr="00470D2A">
        <w:rPr>
          <w:rFonts w:eastAsia="Times New Roman" w:cs="Times New Roman"/>
          <w:kern w:val="2"/>
          <w:sz w:val="18"/>
          <w:szCs w:val="20"/>
        </w:rPr>
        <w:tab/>
        <w:t>Promulgated in accordance with R.S. 39:4 and R.S. 39:1706(C), (D) and (E).</w:t>
      </w:r>
    </w:p>
    <w:p w14:paraId="4BB64782" w14:textId="77777777" w:rsidR="00470D2A" w:rsidRPr="00470D2A" w:rsidRDefault="00470D2A" w:rsidP="00470D2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470D2A">
        <w:rPr>
          <w:rFonts w:eastAsia="Times New Roman" w:cs="Times New Roman"/>
          <w:kern w:val="2"/>
          <w:sz w:val="18"/>
          <w:szCs w:val="20"/>
        </w:rPr>
        <w:t>HISTORICAL NOTE:</w:t>
      </w:r>
      <w:r w:rsidRPr="00470D2A">
        <w:rPr>
          <w:rFonts w:eastAsia="Times New Roman" w:cs="Times New Roman"/>
          <w:kern w:val="2"/>
          <w:sz w:val="18"/>
          <w:szCs w:val="20"/>
        </w:rPr>
        <w:tab/>
        <w:t>Promulgated by the Office of the Governor, Division of Administration, Office of State Procurement, LR 42:2063 (October 2015), amended LR 43:1108 (June 2017).</w:t>
      </w:r>
    </w:p>
    <w:p w14:paraId="423E1D2F"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2A"/>
    <w:rsid w:val="000936E7"/>
    <w:rsid w:val="0017361F"/>
    <w:rsid w:val="00470D2A"/>
    <w:rsid w:val="00951369"/>
    <w:rsid w:val="009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E91D"/>
  <w15:chartTrackingRefBased/>
  <w15:docId w15:val="{B2E1A2F3-6605-4399-99DA-F79D58BE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2A"/>
  </w:style>
  <w:style w:type="paragraph" w:styleId="Heading1">
    <w:name w:val="heading 1"/>
    <w:basedOn w:val="Normal"/>
    <w:next w:val="Normal"/>
    <w:link w:val="Heading1Char"/>
    <w:uiPriority w:val="9"/>
    <w:qFormat/>
    <w:rsid w:val="00470D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0D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0D2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0D2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0D2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70D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0D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0D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0D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D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0D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0D2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0D2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70D2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70D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0D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0D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0D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0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D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D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0D2A"/>
    <w:pPr>
      <w:spacing w:before="160"/>
      <w:jc w:val="center"/>
    </w:pPr>
    <w:rPr>
      <w:i/>
      <w:iCs/>
      <w:color w:val="404040" w:themeColor="text1" w:themeTint="BF"/>
    </w:rPr>
  </w:style>
  <w:style w:type="character" w:customStyle="1" w:styleId="QuoteChar">
    <w:name w:val="Quote Char"/>
    <w:basedOn w:val="DefaultParagraphFont"/>
    <w:link w:val="Quote"/>
    <w:uiPriority w:val="29"/>
    <w:rsid w:val="00470D2A"/>
    <w:rPr>
      <w:i/>
      <w:iCs/>
      <w:color w:val="404040" w:themeColor="text1" w:themeTint="BF"/>
    </w:rPr>
  </w:style>
  <w:style w:type="paragraph" w:styleId="ListParagraph">
    <w:name w:val="List Paragraph"/>
    <w:basedOn w:val="Normal"/>
    <w:uiPriority w:val="34"/>
    <w:qFormat/>
    <w:rsid w:val="00470D2A"/>
    <w:pPr>
      <w:ind w:left="720"/>
      <w:contextualSpacing/>
    </w:pPr>
  </w:style>
  <w:style w:type="character" w:styleId="IntenseEmphasis">
    <w:name w:val="Intense Emphasis"/>
    <w:basedOn w:val="DefaultParagraphFont"/>
    <w:uiPriority w:val="21"/>
    <w:qFormat/>
    <w:rsid w:val="00470D2A"/>
    <w:rPr>
      <w:i/>
      <w:iCs/>
      <w:color w:val="2E74B5" w:themeColor="accent1" w:themeShade="BF"/>
    </w:rPr>
  </w:style>
  <w:style w:type="paragraph" w:styleId="IntenseQuote">
    <w:name w:val="Intense Quote"/>
    <w:basedOn w:val="Normal"/>
    <w:next w:val="Normal"/>
    <w:link w:val="IntenseQuoteChar"/>
    <w:uiPriority w:val="30"/>
    <w:qFormat/>
    <w:rsid w:val="00470D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0D2A"/>
    <w:rPr>
      <w:i/>
      <w:iCs/>
      <w:color w:val="2E74B5" w:themeColor="accent1" w:themeShade="BF"/>
    </w:rPr>
  </w:style>
  <w:style w:type="character" w:styleId="IntenseReference">
    <w:name w:val="Intense Reference"/>
    <w:basedOn w:val="DefaultParagraphFont"/>
    <w:uiPriority w:val="32"/>
    <w:qFormat/>
    <w:rsid w:val="00470D2A"/>
    <w:rPr>
      <w:b/>
      <w:bCs/>
      <w:smallCaps/>
      <w:color w:val="2E74B5" w:themeColor="accent1" w:themeShade="BF"/>
      <w:spacing w:val="5"/>
    </w:rPr>
  </w:style>
  <w:style w:type="paragraph" w:customStyle="1" w:styleId="Part">
    <w:name w:val="Part"/>
    <w:basedOn w:val="Title"/>
    <w:rsid w:val="00470D2A"/>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470D2A"/>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470D2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4218</Characters>
  <Application>Microsoft Office Word</Application>
  <DocSecurity>0</DocSecurity>
  <Lines>55</Lines>
  <Paragraphs>25</Paragraphs>
  <ScaleCrop>false</ScaleCrop>
  <Company>State of Louisiana</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dcterms:created xsi:type="dcterms:W3CDTF">2026-02-05T18:36:00Z</dcterms:created>
  <dcterms:modified xsi:type="dcterms:W3CDTF">2026-02-05T18:36:00Z</dcterms:modified>
</cp:coreProperties>
</file>