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11376"/>
      </w:tblGrid>
      <w:tr w:rsidR="00087790">
        <w:trPr>
          <w:tblCellSpacing w:w="0" w:type="dxa"/>
        </w:trPr>
        <w:tc>
          <w:tcPr>
            <w:tcW w:w="0" w:type="auto"/>
            <w:tcMar>
              <w:top w:w="0" w:type="dxa"/>
              <w:left w:w="0" w:type="dxa"/>
              <w:bottom w:w="0" w:type="dxa"/>
              <w:right w:w="0" w:type="dxa"/>
            </w:tcMar>
            <w:vAlign w:val="center"/>
            <w:hideMark/>
          </w:tcPr>
          <w:p w:rsidR="00087790" w:rsidRDefault="00A57747">
            <w:pPr>
              <w:rPr>
                <w:color w:val="000000"/>
              </w:rPr>
            </w:pPr>
            <w:r>
              <w:rPr>
                <w:noProof/>
                <w:color w:val="000000"/>
              </w:rPr>
              <w:drawing>
                <wp:inline distT="0" distB="0" distL="0" distR="0">
                  <wp:extent cx="7191375" cy="1874938"/>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7191375" cy="1874938"/>
                          </a:xfrm>
                          <a:prstGeom prst="rect">
                            <a:avLst/>
                          </a:prstGeom>
                        </pic:spPr>
                      </pic:pic>
                    </a:graphicData>
                  </a:graphic>
                </wp:inline>
              </w:drawing>
            </w:r>
          </w:p>
        </w:tc>
      </w:tr>
    </w:tbl>
    <w:p w:rsidR="00087790" w:rsidRDefault="00087790">
      <w:pPr>
        <w:rPr>
          <w:vanish/>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11376"/>
      </w:tblGrid>
      <w:tr w:rsidR="00087790">
        <w:trPr>
          <w:tblCellSpacing w:w="0" w:type="dxa"/>
          <w:jc w:val="center"/>
        </w:trPr>
        <w:tc>
          <w:tcPr>
            <w:tcW w:w="0" w:type="auto"/>
            <w:tcMar>
              <w:top w:w="0" w:type="dxa"/>
              <w:left w:w="0" w:type="dxa"/>
              <w:bottom w:w="0" w:type="dxa"/>
              <w:right w:w="0" w:type="dxa"/>
            </w:tcMar>
            <w:vAlign w:val="center"/>
            <w:hideMark/>
          </w:tcPr>
          <w:p w:rsidR="00087790" w:rsidRDefault="00A57747">
            <w:pPr>
              <w:rPr>
                <w:color w:val="000000"/>
                <w:sz w:val="30"/>
                <w:szCs w:val="30"/>
              </w:rPr>
            </w:pPr>
            <w:r>
              <w:rPr>
                <w:color w:val="000000"/>
                <w:sz w:val="30"/>
                <w:szCs w:val="30"/>
              </w:rPr>
              <w:t> </w:t>
            </w:r>
          </w:p>
          <w:p w:rsidR="00087790" w:rsidRDefault="00A57747" w:rsidP="00D740F4">
            <w:pPr>
              <w:spacing w:line="400" w:lineRule="atLeast"/>
              <w:jc w:val="both"/>
              <w:rPr>
                <w:rFonts w:ascii="Segoe UI" w:eastAsia="Segoe UI" w:hAnsi="Segoe UI" w:cs="Segoe UI"/>
                <w:color w:val="000000"/>
                <w:sz w:val="40"/>
                <w:szCs w:val="40"/>
              </w:rPr>
            </w:pPr>
            <w:r>
              <w:rPr>
                <w:rFonts w:ascii="Segoe UI" w:eastAsia="Segoe UI" w:hAnsi="Segoe UI" w:cs="Segoe UI"/>
                <w:color w:val="000000"/>
                <w:sz w:val="40"/>
                <w:szCs w:val="40"/>
              </w:rPr>
              <w:t>Combating Workplace Safety Complacency</w:t>
            </w:r>
          </w:p>
          <w:p w:rsidR="00087790" w:rsidRDefault="00A57747" w:rsidP="00D740F4">
            <w:pPr>
              <w:jc w:val="both"/>
              <w:rPr>
                <w:color w:val="000000"/>
                <w:sz w:val="15"/>
                <w:szCs w:val="15"/>
              </w:rPr>
            </w:pPr>
            <w:r>
              <w:rPr>
                <w:color w:val="000000"/>
                <w:sz w:val="15"/>
                <w:szCs w:val="15"/>
              </w:rPr>
              <w:t> </w:t>
            </w:r>
          </w:p>
          <w:p w:rsidR="00087790" w:rsidRDefault="00A57747" w:rsidP="00D740F4">
            <w:pPr>
              <w:jc w:val="both"/>
              <w:rPr>
                <w:rFonts w:ascii="Segoe UI" w:eastAsia="Segoe UI" w:hAnsi="Segoe UI" w:cs="Segoe UI"/>
                <w:color w:val="000000"/>
                <w:sz w:val="20"/>
                <w:szCs w:val="20"/>
              </w:rPr>
            </w:pPr>
            <w:r>
              <w:rPr>
                <w:rFonts w:ascii="Segoe UI" w:eastAsia="Segoe UI" w:hAnsi="Segoe UI" w:cs="Segoe UI"/>
                <w:color w:val="000000"/>
                <w:sz w:val="20"/>
                <w:szCs w:val="20"/>
              </w:rPr>
              <w:t>It’s vital for employees to feel comfortable in their job role and capable of performing workplace tasks effectively. However, comfort shouldn’t come at the cost of complacency.</w:t>
            </w:r>
          </w:p>
          <w:p w:rsidR="00087790" w:rsidRDefault="00A57747" w:rsidP="00D740F4">
            <w:pPr>
              <w:jc w:val="both"/>
              <w:rPr>
                <w:color w:val="000000"/>
                <w:sz w:val="23"/>
                <w:szCs w:val="23"/>
              </w:rPr>
            </w:pPr>
            <w:r>
              <w:rPr>
                <w:color w:val="000000"/>
                <w:sz w:val="23"/>
                <w:szCs w:val="23"/>
              </w:rPr>
              <w:t> </w:t>
            </w:r>
          </w:p>
          <w:p w:rsidR="00087790" w:rsidRDefault="00A57747" w:rsidP="00D740F4">
            <w:pPr>
              <w:jc w:val="both"/>
              <w:rPr>
                <w:rFonts w:ascii="Segoe UI" w:eastAsia="Segoe UI" w:hAnsi="Segoe UI" w:cs="Segoe UI"/>
                <w:color w:val="000000"/>
                <w:sz w:val="20"/>
                <w:szCs w:val="20"/>
              </w:rPr>
            </w:pPr>
            <w:r>
              <w:rPr>
                <w:rFonts w:ascii="Segoe UI" w:eastAsia="Segoe UI" w:hAnsi="Segoe UI" w:cs="Segoe UI"/>
                <w:color w:val="000000"/>
                <w:sz w:val="20"/>
                <w:szCs w:val="20"/>
              </w:rPr>
              <w:t>Being complacent on the job and ignoring safety hazards can carry significant consequences in the workplace—such as near-miss incidents, injuries</w:t>
            </w:r>
            <w:r w:rsidR="00C16C20">
              <w:rPr>
                <w:rFonts w:ascii="Segoe UI" w:eastAsia="Segoe UI" w:hAnsi="Segoe UI" w:cs="Segoe UI"/>
                <w:color w:val="000000"/>
                <w:sz w:val="20"/>
                <w:szCs w:val="20"/>
              </w:rPr>
              <w:t>,</w:t>
            </w:r>
            <w:r>
              <w:rPr>
                <w:rFonts w:ascii="Segoe UI" w:eastAsia="Segoe UI" w:hAnsi="Segoe UI" w:cs="Segoe UI"/>
                <w:color w:val="000000"/>
                <w:sz w:val="20"/>
                <w:szCs w:val="20"/>
              </w:rPr>
              <w:t xml:space="preserve"> and even fatalities. After all, just because your workplace is safe, doesn’t mean you don’t have to follow proper precautions. In fact, many safety incidents aren’t caused by unsafe conditions, but rather by careless acts or behaviors.</w:t>
            </w:r>
          </w:p>
          <w:p w:rsidR="00087790" w:rsidRDefault="00A57747" w:rsidP="00D740F4">
            <w:pPr>
              <w:jc w:val="both"/>
              <w:rPr>
                <w:color w:val="000000"/>
                <w:sz w:val="23"/>
                <w:szCs w:val="23"/>
              </w:rPr>
            </w:pPr>
            <w:r>
              <w:rPr>
                <w:color w:val="000000"/>
                <w:sz w:val="23"/>
                <w:szCs w:val="23"/>
              </w:rPr>
              <w:t> </w:t>
            </w:r>
          </w:p>
          <w:p w:rsidR="00087790" w:rsidRDefault="00A57747" w:rsidP="00D740F4">
            <w:pPr>
              <w:jc w:val="both"/>
              <w:rPr>
                <w:rFonts w:ascii="Segoe UI" w:eastAsia="Segoe UI" w:hAnsi="Segoe UI" w:cs="Segoe UI"/>
                <w:color w:val="000000"/>
                <w:sz w:val="20"/>
                <w:szCs w:val="20"/>
              </w:rPr>
            </w:pPr>
            <w:r>
              <w:rPr>
                <w:rFonts w:ascii="Segoe UI" w:eastAsia="Segoe UI" w:hAnsi="Segoe UI" w:cs="Segoe UI"/>
                <w:color w:val="000000"/>
                <w:sz w:val="20"/>
                <w:szCs w:val="20"/>
              </w:rPr>
              <w:t>That’s why it’s crucial for you to play your part in combating complacency, keeping both yourself and others safe at work. Review this guidance to understand what workplace safety complacency is and how to prevent it.</w:t>
            </w:r>
          </w:p>
          <w:p w:rsidR="00087790" w:rsidRDefault="00A57747" w:rsidP="00D740F4">
            <w:pPr>
              <w:jc w:val="both"/>
              <w:rPr>
                <w:color w:val="000000"/>
                <w:sz w:val="23"/>
                <w:szCs w:val="23"/>
              </w:rPr>
            </w:pPr>
            <w:r>
              <w:rPr>
                <w:color w:val="000000"/>
                <w:sz w:val="23"/>
                <w:szCs w:val="23"/>
              </w:rPr>
              <w:t> </w:t>
            </w:r>
          </w:p>
          <w:p w:rsidR="00087790" w:rsidRDefault="00A57747" w:rsidP="00D740F4">
            <w:pPr>
              <w:spacing w:line="240" w:lineRule="atLeast"/>
              <w:jc w:val="both"/>
              <w:rPr>
                <w:rFonts w:ascii="Segoe UI" w:eastAsia="Segoe UI" w:hAnsi="Segoe UI" w:cs="Segoe UI"/>
                <w:b/>
                <w:bCs/>
                <w:color w:val="000000"/>
              </w:rPr>
            </w:pPr>
            <w:r>
              <w:rPr>
                <w:rFonts w:ascii="Segoe UI" w:eastAsia="Segoe UI" w:hAnsi="Segoe UI" w:cs="Segoe UI"/>
                <w:b/>
                <w:bCs/>
                <w:color w:val="000000"/>
              </w:rPr>
              <w:t>What Is Workplace Safety Complacency?</w:t>
            </w:r>
          </w:p>
          <w:p w:rsidR="00087790" w:rsidRDefault="00A57747" w:rsidP="00D740F4">
            <w:pPr>
              <w:jc w:val="both"/>
              <w:rPr>
                <w:color w:val="000000"/>
                <w:sz w:val="15"/>
                <w:szCs w:val="15"/>
              </w:rPr>
            </w:pPr>
            <w:r>
              <w:rPr>
                <w:color w:val="000000"/>
                <w:sz w:val="15"/>
                <w:szCs w:val="15"/>
              </w:rPr>
              <w:t> </w:t>
            </w:r>
          </w:p>
          <w:p w:rsidR="00087790" w:rsidRDefault="00A57747" w:rsidP="00D740F4">
            <w:pPr>
              <w:jc w:val="both"/>
              <w:rPr>
                <w:rFonts w:ascii="Segoe UI" w:eastAsia="Segoe UI" w:hAnsi="Segoe UI" w:cs="Segoe UI"/>
                <w:color w:val="000000"/>
                <w:sz w:val="20"/>
                <w:szCs w:val="20"/>
              </w:rPr>
            </w:pPr>
            <w:r>
              <w:rPr>
                <w:rFonts w:ascii="Segoe UI" w:eastAsia="Segoe UI" w:hAnsi="Segoe UI" w:cs="Segoe UI"/>
                <w:color w:val="000000"/>
                <w:sz w:val="20"/>
                <w:szCs w:val="20"/>
              </w:rPr>
              <w:t>Put simply, workplace safety complacency occurs when an employee becomes so experienced or familiar with</w:t>
            </w:r>
            <w:r w:rsidR="00C16C20">
              <w:rPr>
                <w:rFonts w:ascii="Segoe UI" w:eastAsia="Segoe UI" w:hAnsi="Segoe UI" w:cs="Segoe UI"/>
                <w:color w:val="000000"/>
                <w:sz w:val="20"/>
                <w:szCs w:val="20"/>
              </w:rPr>
              <w:t xml:space="preserve"> his/her</w:t>
            </w:r>
            <w:r>
              <w:rPr>
                <w:rFonts w:ascii="Segoe UI" w:eastAsia="Segoe UI" w:hAnsi="Segoe UI" w:cs="Segoe UI"/>
                <w:color w:val="000000"/>
                <w:sz w:val="20"/>
                <w:szCs w:val="20"/>
              </w:rPr>
              <w:t xml:space="preserve"> job responsibilities </w:t>
            </w:r>
            <w:r w:rsidR="00C16C20">
              <w:rPr>
                <w:rFonts w:ascii="Segoe UI" w:eastAsia="Segoe UI" w:hAnsi="Segoe UI" w:cs="Segoe UI"/>
                <w:color w:val="000000"/>
                <w:sz w:val="20"/>
                <w:szCs w:val="20"/>
              </w:rPr>
              <w:t>and</w:t>
            </w:r>
            <w:r>
              <w:rPr>
                <w:rFonts w:ascii="Segoe UI" w:eastAsia="Segoe UI" w:hAnsi="Segoe UI" w:cs="Segoe UI"/>
                <w:color w:val="000000"/>
                <w:sz w:val="20"/>
                <w:szCs w:val="20"/>
              </w:rPr>
              <w:t xml:space="preserve"> start to develop an overly relaxed attitude toward tasks. This attitude shift can cause the employee to ignore or become complacent with the job hazards and stop taking proper safety precautions.</w:t>
            </w:r>
          </w:p>
          <w:p w:rsidR="00087790" w:rsidRDefault="00A57747" w:rsidP="00D740F4">
            <w:pPr>
              <w:jc w:val="both"/>
              <w:rPr>
                <w:color w:val="000000"/>
                <w:sz w:val="23"/>
                <w:szCs w:val="23"/>
              </w:rPr>
            </w:pPr>
            <w:r>
              <w:rPr>
                <w:color w:val="000000"/>
                <w:sz w:val="23"/>
                <w:szCs w:val="23"/>
              </w:rPr>
              <w:t> </w:t>
            </w:r>
          </w:p>
          <w:p w:rsidR="00087790" w:rsidRDefault="00A57747" w:rsidP="00D740F4">
            <w:pPr>
              <w:jc w:val="both"/>
              <w:rPr>
                <w:rFonts w:ascii="Segoe UI" w:eastAsia="Segoe UI" w:hAnsi="Segoe UI" w:cs="Segoe UI"/>
                <w:color w:val="000000"/>
                <w:sz w:val="20"/>
                <w:szCs w:val="20"/>
              </w:rPr>
            </w:pPr>
            <w:r>
              <w:rPr>
                <w:rFonts w:ascii="Segoe UI" w:eastAsia="Segoe UI" w:hAnsi="Segoe UI" w:cs="Segoe UI"/>
                <w:color w:val="000000"/>
                <w:sz w:val="20"/>
                <w:szCs w:val="20"/>
              </w:rPr>
              <w:t>Employees can display workplace safety complacency in a variety of ways—including rushing through tasks, skipping important safety steps during a task, multitasking</w:t>
            </w:r>
            <w:r w:rsidR="00C16C20">
              <w:rPr>
                <w:rFonts w:ascii="Segoe UI" w:eastAsia="Segoe UI" w:hAnsi="Segoe UI" w:cs="Segoe UI"/>
                <w:color w:val="000000"/>
                <w:sz w:val="20"/>
                <w:szCs w:val="20"/>
              </w:rPr>
              <w:t>,</w:t>
            </w:r>
            <w:r>
              <w:rPr>
                <w:rFonts w:ascii="Segoe UI" w:eastAsia="Segoe UI" w:hAnsi="Segoe UI" w:cs="Segoe UI"/>
                <w:color w:val="000000"/>
                <w:sz w:val="20"/>
                <w:szCs w:val="20"/>
              </w:rPr>
              <w:t xml:space="preserve"> or engaging in distracting activities while performing a task.</w:t>
            </w:r>
          </w:p>
          <w:p w:rsidR="00087790" w:rsidRDefault="00A57747" w:rsidP="00D740F4">
            <w:pPr>
              <w:jc w:val="both"/>
              <w:rPr>
                <w:color w:val="000000"/>
                <w:sz w:val="23"/>
                <w:szCs w:val="23"/>
              </w:rPr>
            </w:pPr>
            <w:r>
              <w:rPr>
                <w:color w:val="000000"/>
                <w:sz w:val="23"/>
                <w:szCs w:val="23"/>
              </w:rPr>
              <w:t> </w:t>
            </w:r>
          </w:p>
          <w:p w:rsidR="00087790" w:rsidRDefault="00A57747" w:rsidP="00D740F4">
            <w:pPr>
              <w:jc w:val="both"/>
              <w:rPr>
                <w:rFonts w:ascii="Segoe UI" w:eastAsia="Segoe UI" w:hAnsi="Segoe UI" w:cs="Segoe UI"/>
                <w:color w:val="000000"/>
                <w:sz w:val="20"/>
                <w:szCs w:val="20"/>
              </w:rPr>
            </w:pPr>
            <w:r>
              <w:rPr>
                <w:rFonts w:ascii="Segoe UI" w:eastAsia="Segoe UI" w:hAnsi="Segoe UI" w:cs="Segoe UI"/>
                <w:color w:val="000000"/>
                <w:sz w:val="20"/>
                <w:szCs w:val="20"/>
              </w:rPr>
              <w:t>Regardless of how confident or comfortable you are with workplace tasks, it’s imperative to avoid complacency. Even the most experienced employees can hurt themselves or others if they fail to uphold adequate safety precautions.</w:t>
            </w:r>
          </w:p>
          <w:p w:rsidR="00087790" w:rsidRDefault="00A57747" w:rsidP="00D740F4">
            <w:pPr>
              <w:jc w:val="both"/>
              <w:rPr>
                <w:color w:val="000000"/>
                <w:sz w:val="23"/>
                <w:szCs w:val="23"/>
              </w:rPr>
            </w:pPr>
            <w:r>
              <w:rPr>
                <w:color w:val="000000"/>
                <w:sz w:val="23"/>
                <w:szCs w:val="23"/>
              </w:rPr>
              <w:t> </w:t>
            </w:r>
          </w:p>
          <w:p w:rsidR="00087790" w:rsidRDefault="00A57747" w:rsidP="00D740F4">
            <w:pPr>
              <w:spacing w:line="240" w:lineRule="atLeast"/>
              <w:jc w:val="both"/>
              <w:rPr>
                <w:rFonts w:ascii="Segoe UI" w:eastAsia="Segoe UI" w:hAnsi="Segoe UI" w:cs="Segoe UI"/>
                <w:b/>
                <w:bCs/>
                <w:color w:val="000000"/>
              </w:rPr>
            </w:pPr>
            <w:r>
              <w:rPr>
                <w:rFonts w:ascii="Segoe UI" w:eastAsia="Segoe UI" w:hAnsi="Segoe UI" w:cs="Segoe UI"/>
                <w:b/>
                <w:bCs/>
                <w:color w:val="000000"/>
              </w:rPr>
              <w:t>How to Prevent Workplace Safety Complacency</w:t>
            </w:r>
          </w:p>
          <w:p w:rsidR="00087790" w:rsidRDefault="00A57747" w:rsidP="00D740F4">
            <w:pPr>
              <w:jc w:val="both"/>
              <w:rPr>
                <w:color w:val="000000"/>
                <w:sz w:val="15"/>
                <w:szCs w:val="15"/>
              </w:rPr>
            </w:pPr>
            <w:r>
              <w:rPr>
                <w:color w:val="000000"/>
                <w:sz w:val="15"/>
                <w:szCs w:val="15"/>
              </w:rPr>
              <w:t> </w:t>
            </w:r>
          </w:p>
          <w:p w:rsidR="00087790" w:rsidRDefault="00A57747" w:rsidP="00D740F4">
            <w:pPr>
              <w:jc w:val="both"/>
              <w:rPr>
                <w:rFonts w:ascii="Segoe UI" w:eastAsia="Segoe UI" w:hAnsi="Segoe UI" w:cs="Segoe UI"/>
                <w:color w:val="000000"/>
                <w:sz w:val="20"/>
                <w:szCs w:val="20"/>
              </w:rPr>
            </w:pPr>
            <w:r>
              <w:rPr>
                <w:rFonts w:ascii="Segoe UI" w:eastAsia="Segoe UI" w:hAnsi="Segoe UI" w:cs="Segoe UI"/>
                <w:color w:val="000000"/>
                <w:sz w:val="20"/>
                <w:szCs w:val="20"/>
              </w:rPr>
              <w:t>Here’s what you can do to combat safety complacency within the workplace:</w:t>
            </w:r>
          </w:p>
          <w:p w:rsidR="00087790" w:rsidRDefault="00A57747" w:rsidP="00D740F4">
            <w:pPr>
              <w:jc w:val="both"/>
              <w:rPr>
                <w:color w:val="000000"/>
                <w:sz w:val="23"/>
                <w:szCs w:val="23"/>
              </w:rPr>
            </w:pPr>
            <w:r>
              <w:rPr>
                <w:color w:val="000000"/>
                <w:sz w:val="23"/>
                <w:szCs w:val="23"/>
              </w:rPr>
              <w:t> </w:t>
            </w:r>
          </w:p>
          <w:p w:rsidR="00087790" w:rsidRDefault="00A57747" w:rsidP="00D740F4">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b/>
                <w:bCs/>
                <w:color w:val="000000"/>
                <w:sz w:val="20"/>
                <w:szCs w:val="20"/>
              </w:rPr>
              <w:t xml:space="preserve">Take hazards seriously. </w:t>
            </w:r>
            <w:r>
              <w:rPr>
                <w:rFonts w:ascii="Segoe UI" w:eastAsia="Segoe UI" w:hAnsi="Segoe UI" w:cs="Segoe UI"/>
                <w:color w:val="000000"/>
                <w:sz w:val="20"/>
                <w:szCs w:val="20"/>
              </w:rPr>
              <w:t>Remember that no matter your skill level, you’re never immune to workplace hazards. Always pay attention during workplace safety meetings and training sessions to fully understand the risks that accompany your role and comprehend the consequences of engaging in unsafe actions.</w:t>
            </w:r>
          </w:p>
          <w:p w:rsidR="00C16C20" w:rsidRDefault="00C16C20" w:rsidP="00D740F4">
            <w:pPr>
              <w:pBdr>
                <w:top w:val="none" w:sz="0" w:space="3" w:color="auto"/>
              </w:pBdr>
              <w:ind w:left="375"/>
              <w:jc w:val="both"/>
              <w:rPr>
                <w:rFonts w:ascii="Segoe UI" w:eastAsia="Segoe UI" w:hAnsi="Segoe UI" w:cs="Segoe UI"/>
                <w:color w:val="000000"/>
                <w:sz w:val="20"/>
                <w:szCs w:val="20"/>
              </w:rPr>
            </w:pPr>
          </w:p>
          <w:p w:rsidR="00087790" w:rsidRDefault="00A57747" w:rsidP="00D740F4">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b/>
                <w:bCs/>
                <w:color w:val="000000"/>
                <w:sz w:val="20"/>
                <w:szCs w:val="20"/>
              </w:rPr>
              <w:t>Follow workplace policies and procedures.</w:t>
            </w:r>
            <w:r>
              <w:rPr>
                <w:rFonts w:ascii="Segoe UI" w:eastAsia="Segoe UI" w:hAnsi="Segoe UI" w:cs="Segoe UI"/>
                <w:color w:val="000000"/>
                <w:sz w:val="20"/>
                <w:szCs w:val="20"/>
              </w:rPr>
              <w:t xml:space="preserve"> Ensure</w:t>
            </w:r>
            <w:r w:rsidR="00C16C20">
              <w:rPr>
                <w:rFonts w:ascii="Segoe UI" w:eastAsia="Segoe UI" w:hAnsi="Segoe UI" w:cs="Segoe UI"/>
                <w:color w:val="000000"/>
                <w:sz w:val="20"/>
                <w:szCs w:val="20"/>
              </w:rPr>
              <w:t xml:space="preserve"> that</w:t>
            </w:r>
            <w:r>
              <w:rPr>
                <w:rFonts w:ascii="Segoe UI" w:eastAsia="Segoe UI" w:hAnsi="Segoe UI" w:cs="Segoe UI"/>
                <w:color w:val="000000"/>
                <w:sz w:val="20"/>
                <w:szCs w:val="20"/>
              </w:rPr>
              <w:t xml:space="preserve"> you follow all safety policies and procedures when performing workplace tasks, even if it seems tedious. Don’t rush through tasks, try to multitask</w:t>
            </w:r>
            <w:r w:rsidR="00C16C20">
              <w:rPr>
                <w:rFonts w:ascii="Segoe UI" w:eastAsia="Segoe UI" w:hAnsi="Segoe UI" w:cs="Segoe UI"/>
                <w:color w:val="000000"/>
                <w:sz w:val="20"/>
                <w:szCs w:val="20"/>
              </w:rPr>
              <w:t>,</w:t>
            </w:r>
            <w:r>
              <w:rPr>
                <w:rFonts w:ascii="Segoe UI" w:eastAsia="Segoe UI" w:hAnsi="Segoe UI" w:cs="Segoe UI"/>
                <w:color w:val="000000"/>
                <w:sz w:val="20"/>
                <w:szCs w:val="20"/>
              </w:rPr>
              <w:t xml:space="preserve"> or skip certain steps.</w:t>
            </w:r>
          </w:p>
          <w:p w:rsidR="00C16C20" w:rsidRDefault="00C16C20" w:rsidP="00D740F4">
            <w:pPr>
              <w:pStyle w:val="ListParagraph"/>
              <w:jc w:val="both"/>
              <w:rPr>
                <w:rFonts w:ascii="Segoe UI" w:eastAsia="Segoe UI" w:hAnsi="Segoe UI" w:cs="Segoe UI"/>
                <w:color w:val="000000"/>
                <w:sz w:val="20"/>
                <w:szCs w:val="20"/>
              </w:rPr>
            </w:pPr>
          </w:p>
          <w:p w:rsidR="00087790" w:rsidRDefault="00A57747" w:rsidP="00D740F4">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b/>
                <w:bCs/>
                <w:color w:val="000000"/>
                <w:sz w:val="20"/>
                <w:szCs w:val="20"/>
              </w:rPr>
              <w:t xml:space="preserve">Conduct safety audits. </w:t>
            </w:r>
            <w:r>
              <w:rPr>
                <w:rFonts w:ascii="Segoe UI" w:eastAsia="Segoe UI" w:hAnsi="Segoe UI" w:cs="Segoe UI"/>
                <w:color w:val="000000"/>
                <w:sz w:val="20"/>
                <w:szCs w:val="20"/>
              </w:rPr>
              <w:t xml:space="preserve">Consider having a co-worker routinely audit you to see if </w:t>
            </w:r>
            <w:r w:rsidR="00C16C20">
              <w:rPr>
                <w:rFonts w:ascii="Segoe UI" w:eastAsia="Segoe UI" w:hAnsi="Segoe UI" w:cs="Segoe UI"/>
                <w:color w:val="000000"/>
                <w:sz w:val="20"/>
                <w:szCs w:val="20"/>
              </w:rPr>
              <w:t>he/she</w:t>
            </w:r>
            <w:r>
              <w:rPr>
                <w:rFonts w:ascii="Segoe UI" w:eastAsia="Segoe UI" w:hAnsi="Segoe UI" w:cs="Segoe UI"/>
                <w:color w:val="000000"/>
                <w:sz w:val="20"/>
                <w:szCs w:val="20"/>
              </w:rPr>
              <w:t xml:space="preserve"> </w:t>
            </w:r>
            <w:r w:rsidR="00C16C20">
              <w:rPr>
                <w:rFonts w:ascii="Segoe UI" w:eastAsia="Segoe UI" w:hAnsi="Segoe UI" w:cs="Segoe UI"/>
                <w:color w:val="000000"/>
                <w:sz w:val="20"/>
                <w:szCs w:val="20"/>
              </w:rPr>
              <w:t xml:space="preserve">can </w:t>
            </w:r>
            <w:r>
              <w:rPr>
                <w:rFonts w:ascii="Segoe UI" w:eastAsia="Segoe UI" w:hAnsi="Segoe UI" w:cs="Segoe UI"/>
                <w:color w:val="000000"/>
                <w:sz w:val="20"/>
                <w:szCs w:val="20"/>
              </w:rPr>
              <w:t>identify any safety concerns while you work—this is also known as a behavior-based safety observation (BBSO). Make sure you assist your co-workers by auditing their work through BBSOs as well. By observing others, you may even become more aware of your own habits and identify additional areas for improvement.</w:t>
            </w:r>
          </w:p>
          <w:p w:rsidR="00087790" w:rsidRDefault="00A57747" w:rsidP="00D740F4">
            <w:pPr>
              <w:jc w:val="both"/>
              <w:rPr>
                <w:color w:val="000000"/>
                <w:sz w:val="23"/>
                <w:szCs w:val="23"/>
              </w:rPr>
            </w:pPr>
            <w:r>
              <w:rPr>
                <w:color w:val="000000"/>
                <w:sz w:val="23"/>
                <w:szCs w:val="23"/>
              </w:rPr>
              <w:t> </w:t>
            </w:r>
          </w:p>
          <w:p w:rsidR="00087790" w:rsidRDefault="00A57747" w:rsidP="00D740F4">
            <w:pPr>
              <w:jc w:val="both"/>
              <w:rPr>
                <w:rFonts w:ascii="Segoe UI" w:eastAsia="Segoe UI" w:hAnsi="Segoe UI" w:cs="Segoe UI"/>
                <w:color w:val="000000"/>
                <w:sz w:val="20"/>
                <w:szCs w:val="20"/>
              </w:rPr>
            </w:pPr>
            <w:r>
              <w:rPr>
                <w:rFonts w:ascii="Segoe UI" w:eastAsia="Segoe UI" w:hAnsi="Segoe UI" w:cs="Segoe UI"/>
                <w:color w:val="000000"/>
                <w:sz w:val="20"/>
                <w:szCs w:val="20"/>
              </w:rPr>
              <w:t xml:space="preserve">To ensure a successful safety culture within </w:t>
            </w:r>
            <w:r w:rsidR="00C16C20">
              <w:rPr>
                <w:rFonts w:ascii="Segoe UI" w:eastAsia="Segoe UI" w:hAnsi="Segoe UI" w:cs="Segoe UI"/>
                <w:color w:val="000000"/>
                <w:sz w:val="20"/>
                <w:szCs w:val="20"/>
              </w:rPr>
              <w:t>y</w:t>
            </w:r>
            <w:r>
              <w:rPr>
                <w:rFonts w:ascii="Segoe UI" w:eastAsia="Segoe UI" w:hAnsi="Segoe UI" w:cs="Segoe UI"/>
                <w:color w:val="000000"/>
                <w:sz w:val="20"/>
                <w:szCs w:val="20"/>
              </w:rPr>
              <w:t>our organization, it’s crucial for you to be comfortable addressing complacency issues on the job. If you have any concerns regarding workplace safety complacency, talk to your supervisor.</w:t>
            </w:r>
            <w:bookmarkStart w:id="0" w:name="_GoBack"/>
            <w:bookmarkEnd w:id="0"/>
          </w:p>
          <w:p w:rsidR="00087790" w:rsidRDefault="00A57747">
            <w:pPr>
              <w:rPr>
                <w:color w:val="000000"/>
                <w:sz w:val="23"/>
                <w:szCs w:val="23"/>
              </w:rPr>
            </w:pPr>
            <w:r>
              <w:rPr>
                <w:color w:val="000000"/>
                <w:sz w:val="23"/>
                <w:szCs w:val="23"/>
              </w:rPr>
              <w:t> </w:t>
            </w:r>
          </w:p>
        </w:tc>
      </w:tr>
    </w:tbl>
    <w:p w:rsidR="00087790" w:rsidRDefault="00087790">
      <w:pPr>
        <w:rPr>
          <w:vanish/>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11376"/>
      </w:tblGrid>
      <w:tr w:rsidR="00087790" w:rsidTr="00C16C20">
        <w:trPr>
          <w:tblCellSpacing w:w="0" w:type="dxa"/>
          <w:jc w:val="center"/>
        </w:trPr>
        <w:tc>
          <w:tcPr>
            <w:tcW w:w="0" w:type="auto"/>
            <w:tcMar>
              <w:top w:w="0" w:type="dxa"/>
              <w:left w:w="0" w:type="dxa"/>
              <w:bottom w:w="0" w:type="dxa"/>
              <w:right w:w="0" w:type="dxa"/>
            </w:tcMar>
            <w:vAlign w:val="center"/>
          </w:tcPr>
          <w:p w:rsidR="00087790" w:rsidRDefault="00087790">
            <w:pPr>
              <w:rPr>
                <w:rFonts w:ascii="Segoe UI" w:eastAsia="Segoe UI" w:hAnsi="Segoe UI" w:cs="Segoe UI"/>
                <w:color w:val="000000"/>
                <w:sz w:val="16"/>
                <w:szCs w:val="16"/>
              </w:rPr>
            </w:pPr>
          </w:p>
        </w:tc>
      </w:tr>
    </w:tbl>
    <w:p w:rsidR="00087790" w:rsidRDefault="00087790"/>
    <w:sectPr w:rsidR="00087790">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425C2CD2">
      <w:start w:val="1"/>
      <w:numFmt w:val="bullet"/>
      <w:lvlText w:val=""/>
      <w:lvlJc w:val="left"/>
      <w:pPr>
        <w:ind w:left="720" w:hanging="360"/>
      </w:pPr>
      <w:rPr>
        <w:rFonts w:ascii="Symbol" w:hAnsi="Symbol"/>
      </w:rPr>
    </w:lvl>
    <w:lvl w:ilvl="1" w:tplc="E0408E78">
      <w:start w:val="1"/>
      <w:numFmt w:val="bullet"/>
      <w:lvlText w:val="o"/>
      <w:lvlJc w:val="left"/>
      <w:pPr>
        <w:tabs>
          <w:tab w:val="num" w:pos="1440"/>
        </w:tabs>
        <w:ind w:left="1440" w:hanging="360"/>
      </w:pPr>
      <w:rPr>
        <w:rFonts w:ascii="Courier New" w:hAnsi="Courier New"/>
      </w:rPr>
    </w:lvl>
    <w:lvl w:ilvl="2" w:tplc="046884E4">
      <w:start w:val="1"/>
      <w:numFmt w:val="bullet"/>
      <w:lvlText w:val=""/>
      <w:lvlJc w:val="left"/>
      <w:pPr>
        <w:tabs>
          <w:tab w:val="num" w:pos="2160"/>
        </w:tabs>
        <w:ind w:left="2160" w:hanging="360"/>
      </w:pPr>
      <w:rPr>
        <w:rFonts w:ascii="Wingdings" w:hAnsi="Wingdings"/>
      </w:rPr>
    </w:lvl>
    <w:lvl w:ilvl="3" w:tplc="BC8E24FC">
      <w:start w:val="1"/>
      <w:numFmt w:val="bullet"/>
      <w:lvlText w:val=""/>
      <w:lvlJc w:val="left"/>
      <w:pPr>
        <w:tabs>
          <w:tab w:val="num" w:pos="2880"/>
        </w:tabs>
        <w:ind w:left="2880" w:hanging="360"/>
      </w:pPr>
      <w:rPr>
        <w:rFonts w:ascii="Symbol" w:hAnsi="Symbol"/>
      </w:rPr>
    </w:lvl>
    <w:lvl w:ilvl="4" w:tplc="4ACABDD8">
      <w:start w:val="1"/>
      <w:numFmt w:val="bullet"/>
      <w:lvlText w:val="o"/>
      <w:lvlJc w:val="left"/>
      <w:pPr>
        <w:tabs>
          <w:tab w:val="num" w:pos="3600"/>
        </w:tabs>
        <w:ind w:left="3600" w:hanging="360"/>
      </w:pPr>
      <w:rPr>
        <w:rFonts w:ascii="Courier New" w:hAnsi="Courier New"/>
      </w:rPr>
    </w:lvl>
    <w:lvl w:ilvl="5" w:tplc="AB545C32">
      <w:start w:val="1"/>
      <w:numFmt w:val="bullet"/>
      <w:lvlText w:val=""/>
      <w:lvlJc w:val="left"/>
      <w:pPr>
        <w:tabs>
          <w:tab w:val="num" w:pos="4320"/>
        </w:tabs>
        <w:ind w:left="4320" w:hanging="360"/>
      </w:pPr>
      <w:rPr>
        <w:rFonts w:ascii="Wingdings" w:hAnsi="Wingdings"/>
      </w:rPr>
    </w:lvl>
    <w:lvl w:ilvl="6" w:tplc="68EC9FCA">
      <w:start w:val="1"/>
      <w:numFmt w:val="bullet"/>
      <w:lvlText w:val=""/>
      <w:lvlJc w:val="left"/>
      <w:pPr>
        <w:tabs>
          <w:tab w:val="num" w:pos="5040"/>
        </w:tabs>
        <w:ind w:left="5040" w:hanging="360"/>
      </w:pPr>
      <w:rPr>
        <w:rFonts w:ascii="Symbol" w:hAnsi="Symbol"/>
      </w:rPr>
    </w:lvl>
    <w:lvl w:ilvl="7" w:tplc="ADECEB50">
      <w:start w:val="1"/>
      <w:numFmt w:val="bullet"/>
      <w:lvlText w:val="o"/>
      <w:lvlJc w:val="left"/>
      <w:pPr>
        <w:tabs>
          <w:tab w:val="num" w:pos="5760"/>
        </w:tabs>
        <w:ind w:left="5760" w:hanging="360"/>
      </w:pPr>
      <w:rPr>
        <w:rFonts w:ascii="Courier New" w:hAnsi="Courier New"/>
      </w:rPr>
    </w:lvl>
    <w:lvl w:ilvl="8" w:tplc="E25C99AE">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90"/>
    <w:rsid w:val="00087790"/>
    <w:rsid w:val="00303883"/>
    <w:rsid w:val="00876CCE"/>
    <w:rsid w:val="00A57747"/>
    <w:rsid w:val="00C16C20"/>
    <w:rsid w:val="00D7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6EEF"/>
  <w15:docId w15:val="{E7986636-2A44-4742-8BD8-91772487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C16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L. Normand</dc:creator>
  <cp:lastModifiedBy>Brett Beoubay</cp:lastModifiedBy>
  <cp:revision>4</cp:revision>
  <dcterms:created xsi:type="dcterms:W3CDTF">2022-09-07T15:01:00Z</dcterms:created>
  <dcterms:modified xsi:type="dcterms:W3CDTF">2022-09-07T15:02:00Z</dcterms:modified>
</cp:coreProperties>
</file>