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7993B" w14:textId="77777777" w:rsidR="00D23A2D" w:rsidRDefault="00D23A2D" w:rsidP="00D23A2D">
      <w:pPr>
        <w:pStyle w:val="Title1"/>
      </w:pPr>
      <w:r>
        <w:t>Title 4</w:t>
      </w:r>
    </w:p>
    <w:p w14:paraId="3BBE54BC" w14:textId="77777777" w:rsidR="00D23A2D" w:rsidRDefault="00D23A2D" w:rsidP="00D23A2D">
      <w:pPr>
        <w:pStyle w:val="Title2"/>
      </w:pPr>
      <w:r>
        <w:t>ADMINISTRATION</w:t>
      </w:r>
    </w:p>
    <w:p w14:paraId="0FC58425" w14:textId="77777777" w:rsidR="00D23A2D" w:rsidRDefault="00D23A2D" w:rsidP="00D23A2D">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1E9326A7" w14:textId="77777777" w:rsidR="00D23A2D" w:rsidRPr="00D23A2D" w:rsidRDefault="00D23A2D" w:rsidP="00D23A2D">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rPr>
          <w:rFonts w:eastAsia="Times New Roman" w:cs="Times New Roman"/>
          <w:b/>
          <w:kern w:val="2"/>
          <w:sz w:val="28"/>
          <w:szCs w:val="20"/>
        </w:rPr>
      </w:pPr>
      <w:bookmarkStart w:id="5" w:name="_Toc18406436"/>
      <w:bookmarkStart w:id="6" w:name="_Toc214949794"/>
      <w:r w:rsidRPr="00D23A2D">
        <w:rPr>
          <w:rFonts w:eastAsia="Times New Roman" w:cs="Times New Roman"/>
          <w:b/>
          <w:kern w:val="2"/>
          <w:sz w:val="28"/>
          <w:szCs w:val="20"/>
        </w:rPr>
        <w:t>Chapter 51.</w:t>
      </w:r>
      <w:r w:rsidRPr="00D23A2D">
        <w:rPr>
          <w:rFonts w:eastAsia="Times New Roman" w:cs="Times New Roman"/>
          <w:b/>
          <w:kern w:val="2"/>
          <w:sz w:val="28"/>
          <w:szCs w:val="20"/>
        </w:rPr>
        <w:tab/>
        <w:t>Professional and Social Services Categories</w:t>
      </w:r>
      <w:r w:rsidRPr="00D23A2D">
        <w:rPr>
          <w:rFonts w:eastAsia="Times New Roman" w:cs="Times New Roman"/>
          <w:b/>
          <w:kern w:val="2"/>
          <w:sz w:val="28"/>
          <w:szCs w:val="20"/>
        </w:rPr>
        <w:sym w:font="Symbol" w:char="F0BE"/>
      </w:r>
      <w:r w:rsidRPr="00D23A2D">
        <w:rPr>
          <w:rFonts w:eastAsia="Times New Roman" w:cs="Times New Roman"/>
          <w:b/>
          <w:kern w:val="2"/>
          <w:sz w:val="28"/>
          <w:szCs w:val="20"/>
        </w:rPr>
        <w:t>PPM Number 55</w:t>
      </w:r>
      <w:bookmarkEnd w:id="5"/>
      <w:bookmarkEnd w:id="6"/>
    </w:p>
    <w:p w14:paraId="0E3EA4C5" w14:textId="77777777" w:rsidR="00D23A2D" w:rsidRPr="00D23A2D" w:rsidRDefault="00D23A2D" w:rsidP="00D23A2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7" w:name="_Toc18406437"/>
      <w:bookmarkStart w:id="8" w:name="_Toc214949795"/>
      <w:r w:rsidRPr="00D23A2D">
        <w:rPr>
          <w:rFonts w:eastAsia="Times New Roman" w:cs="Times New Roman"/>
          <w:b/>
          <w:kern w:val="2"/>
          <w:szCs w:val="20"/>
        </w:rPr>
        <w:t>§5101.</w:t>
      </w:r>
      <w:r w:rsidRPr="00D23A2D">
        <w:rPr>
          <w:rFonts w:eastAsia="Times New Roman" w:cs="Times New Roman"/>
          <w:b/>
          <w:kern w:val="2"/>
          <w:szCs w:val="20"/>
        </w:rPr>
        <w:tab/>
        <w:t>Authority</w:t>
      </w:r>
      <w:bookmarkEnd w:id="7"/>
      <w:bookmarkEnd w:id="8"/>
    </w:p>
    <w:p w14:paraId="1443D3B7" w14:textId="77777777" w:rsidR="00D23A2D" w:rsidRPr="00D23A2D" w:rsidRDefault="00D23A2D" w:rsidP="00D23A2D">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D23A2D">
        <w:rPr>
          <w:rFonts w:eastAsia="Times New Roman" w:cs="Times New Roman"/>
          <w:kern w:val="2"/>
          <w:szCs w:val="20"/>
        </w:rPr>
        <w:t>A.</w:t>
      </w:r>
      <w:r w:rsidRPr="00D23A2D">
        <w:rPr>
          <w:rFonts w:eastAsia="Times New Roman" w:cs="Times New Roman"/>
          <w:kern w:val="2"/>
          <w:szCs w:val="20"/>
        </w:rPr>
        <w:tab/>
        <w:t xml:space="preserve">Under R.S. 39:1561 the Commissioner is granted broad authority and responsibility to consider and decide matters of policy under the Procurement Code. Pursuant to R.S. 39:1556(42) the chief procurement officer for the state of Louisiana may add to the enumerated occupations or services under the categories of “professionals.” Under R.S. 39:1619 the enumerated categories of “social services” are not </w:t>
      </w:r>
      <w:proofErr w:type="gramStart"/>
      <w:r w:rsidRPr="00D23A2D">
        <w:rPr>
          <w:rFonts w:eastAsia="Times New Roman" w:cs="Times New Roman"/>
          <w:kern w:val="2"/>
          <w:szCs w:val="20"/>
        </w:rPr>
        <w:t>limited, but</w:t>
      </w:r>
      <w:proofErr w:type="gramEnd"/>
      <w:r w:rsidRPr="00D23A2D">
        <w:rPr>
          <w:rFonts w:eastAsia="Times New Roman" w:cs="Times New Roman"/>
          <w:kern w:val="2"/>
          <w:szCs w:val="20"/>
        </w:rPr>
        <w:t xml:space="preserve"> may be increased. </w:t>
      </w:r>
    </w:p>
    <w:p w14:paraId="091DC529" w14:textId="77777777" w:rsidR="00D23A2D" w:rsidRPr="00D23A2D" w:rsidRDefault="00D23A2D" w:rsidP="00D23A2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Cs w:val="20"/>
        </w:rPr>
      </w:pPr>
      <w:r w:rsidRPr="00D23A2D">
        <w:rPr>
          <w:rFonts w:eastAsia="Times New Roman" w:cs="Times New Roman"/>
          <w:kern w:val="2"/>
          <w:sz w:val="18"/>
          <w:szCs w:val="20"/>
        </w:rPr>
        <w:t>AUTHORITY NOTE:</w:t>
      </w:r>
      <w:r w:rsidRPr="00D23A2D">
        <w:rPr>
          <w:rFonts w:eastAsia="Times New Roman" w:cs="Times New Roman"/>
          <w:kern w:val="2"/>
          <w:sz w:val="18"/>
          <w:szCs w:val="20"/>
        </w:rPr>
        <w:tab/>
        <w:t xml:space="preserve">Promulgated in accordance with R.S. 39:1561, R.S. 39:1556(42), and R.S. 39:1619. </w:t>
      </w:r>
    </w:p>
    <w:p w14:paraId="562179C7" w14:textId="77777777" w:rsidR="00D23A2D" w:rsidRPr="00D23A2D" w:rsidRDefault="00D23A2D" w:rsidP="00D23A2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D23A2D">
        <w:rPr>
          <w:rFonts w:eastAsia="Times New Roman" w:cs="Times New Roman"/>
          <w:kern w:val="2"/>
          <w:sz w:val="18"/>
          <w:szCs w:val="20"/>
        </w:rPr>
        <w:t>HISTORICAL NOTE:</w:t>
      </w:r>
      <w:r w:rsidRPr="00D23A2D">
        <w:rPr>
          <w:rFonts w:eastAsia="Times New Roman" w:cs="Times New Roman"/>
          <w:kern w:val="2"/>
          <w:sz w:val="18"/>
          <w:szCs w:val="20"/>
        </w:rPr>
        <w:tab/>
        <w:t>Promulgated by the Office of the Governor, Division of Administration, Office of State Procurement, 41:2762 (December 2015), amended LR 43:1109 (June 2017).</w:t>
      </w:r>
    </w:p>
    <w:p w14:paraId="5D49B6DC" w14:textId="77777777" w:rsidR="00D23A2D" w:rsidRPr="00D23A2D" w:rsidRDefault="00D23A2D" w:rsidP="00D23A2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9" w:name="_Toc18406438"/>
      <w:bookmarkStart w:id="10" w:name="_Toc214949796"/>
      <w:r w:rsidRPr="00D23A2D">
        <w:rPr>
          <w:rFonts w:eastAsia="Times New Roman" w:cs="Times New Roman"/>
          <w:b/>
          <w:kern w:val="2"/>
          <w:szCs w:val="20"/>
        </w:rPr>
        <w:t>§5103.</w:t>
      </w:r>
      <w:r w:rsidRPr="00D23A2D">
        <w:rPr>
          <w:rFonts w:eastAsia="Times New Roman" w:cs="Times New Roman"/>
          <w:b/>
          <w:kern w:val="2"/>
          <w:szCs w:val="20"/>
        </w:rPr>
        <w:tab/>
        <w:t>Policy</w:t>
      </w:r>
      <w:bookmarkEnd w:id="9"/>
      <w:bookmarkEnd w:id="10"/>
    </w:p>
    <w:p w14:paraId="6FF90184" w14:textId="77777777" w:rsidR="00D23A2D" w:rsidRPr="00D23A2D" w:rsidRDefault="00D23A2D" w:rsidP="00D23A2D">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D23A2D">
        <w:rPr>
          <w:rFonts w:eastAsia="Times New Roman" w:cs="Times New Roman"/>
          <w:kern w:val="2"/>
          <w:szCs w:val="20"/>
        </w:rPr>
        <w:t>A.</w:t>
      </w:r>
      <w:r w:rsidRPr="00D23A2D">
        <w:rPr>
          <w:rFonts w:eastAsia="Times New Roman" w:cs="Times New Roman"/>
          <w:kern w:val="2"/>
          <w:szCs w:val="20"/>
        </w:rPr>
        <w:tab/>
        <w:t xml:space="preserve">To respond to the needs of state agencies, it shall be the policy of the Office of State Procurement to regularly review and to supplement the professions, occupations and services covered under R.S. 39:1556 (Professional Services) and R.S. 39:1619 (Social Services) in order to ensure that needed services are being procured in the most effective manner possible. Any addition of professional services or social services under this Chapter shall be added to the Tables Appendix in §5109 of this Chapter and shall be published in the Louisiana Register. Any contract </w:t>
      </w:r>
      <w:proofErr w:type="gramStart"/>
      <w:r w:rsidRPr="00D23A2D">
        <w:rPr>
          <w:rFonts w:eastAsia="Times New Roman" w:cs="Times New Roman"/>
          <w:kern w:val="2"/>
          <w:szCs w:val="20"/>
        </w:rPr>
        <w:t>entered into</w:t>
      </w:r>
      <w:proofErr w:type="gramEnd"/>
      <w:r w:rsidRPr="00D23A2D">
        <w:rPr>
          <w:rFonts w:eastAsia="Times New Roman" w:cs="Times New Roman"/>
          <w:kern w:val="2"/>
          <w:szCs w:val="20"/>
        </w:rPr>
        <w:t xml:space="preserve"> between an agency and a person providing professional or social services listed herein must fully comply with </w:t>
      </w:r>
      <w:proofErr w:type="gramStart"/>
      <w:r w:rsidRPr="00D23A2D">
        <w:rPr>
          <w:rFonts w:eastAsia="Times New Roman" w:cs="Times New Roman"/>
          <w:kern w:val="2"/>
          <w:szCs w:val="20"/>
        </w:rPr>
        <w:t>any and all</w:t>
      </w:r>
      <w:proofErr w:type="gramEnd"/>
      <w:r w:rsidRPr="00D23A2D">
        <w:rPr>
          <w:rFonts w:eastAsia="Times New Roman" w:cs="Times New Roman"/>
          <w:kern w:val="2"/>
          <w:szCs w:val="20"/>
        </w:rPr>
        <w:t xml:space="preserve"> other requirements under the Procurement Code. </w:t>
      </w:r>
    </w:p>
    <w:p w14:paraId="3EBC1EDD" w14:textId="77777777" w:rsidR="00D23A2D" w:rsidRPr="00D23A2D" w:rsidRDefault="00D23A2D" w:rsidP="00D23A2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D23A2D">
        <w:rPr>
          <w:rFonts w:eastAsia="Times New Roman" w:cs="Times New Roman"/>
          <w:kern w:val="2"/>
          <w:sz w:val="18"/>
          <w:szCs w:val="20"/>
        </w:rPr>
        <w:t>AUTHORITY NOTE:</w:t>
      </w:r>
      <w:r w:rsidRPr="00D23A2D">
        <w:rPr>
          <w:rFonts w:eastAsia="Times New Roman" w:cs="Times New Roman"/>
          <w:kern w:val="2"/>
          <w:sz w:val="18"/>
          <w:szCs w:val="20"/>
        </w:rPr>
        <w:tab/>
        <w:t>Promulgated in accordance with R.S. 39:1561, R.S. 39:1556(42), and R.S. 39:1619.</w:t>
      </w:r>
    </w:p>
    <w:p w14:paraId="51F8CC24" w14:textId="77777777" w:rsidR="00D23A2D" w:rsidRPr="00D23A2D" w:rsidRDefault="00D23A2D" w:rsidP="00D23A2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D23A2D">
        <w:rPr>
          <w:rFonts w:eastAsia="Times New Roman" w:cs="Times New Roman"/>
          <w:kern w:val="2"/>
          <w:sz w:val="18"/>
          <w:szCs w:val="20"/>
        </w:rPr>
        <w:t>HISTORICAL NOTE:</w:t>
      </w:r>
      <w:r w:rsidRPr="00D23A2D">
        <w:rPr>
          <w:rFonts w:eastAsia="Times New Roman" w:cs="Times New Roman"/>
          <w:kern w:val="2"/>
          <w:sz w:val="18"/>
          <w:szCs w:val="20"/>
        </w:rPr>
        <w:tab/>
        <w:t>Promulgated by the Office of the Governor, Division of Administration, Office of State Procurement, 41:2762 (December 2015), amended LR 43:1109 (June 2017).</w:t>
      </w:r>
    </w:p>
    <w:p w14:paraId="50BC6256" w14:textId="77777777" w:rsidR="00D23A2D" w:rsidRPr="00D23A2D" w:rsidRDefault="00D23A2D" w:rsidP="00D23A2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11" w:name="_Toc18406439"/>
      <w:bookmarkStart w:id="12" w:name="_Toc214949797"/>
      <w:r w:rsidRPr="00D23A2D">
        <w:rPr>
          <w:rFonts w:eastAsia="Times New Roman" w:cs="Times New Roman"/>
          <w:b/>
          <w:kern w:val="2"/>
          <w:szCs w:val="20"/>
        </w:rPr>
        <w:t>§5105.</w:t>
      </w:r>
      <w:r w:rsidRPr="00D23A2D">
        <w:rPr>
          <w:rFonts w:eastAsia="Times New Roman" w:cs="Times New Roman"/>
          <w:b/>
          <w:kern w:val="2"/>
          <w:szCs w:val="20"/>
        </w:rPr>
        <w:tab/>
        <w:t>Procedures</w:t>
      </w:r>
      <w:bookmarkEnd w:id="11"/>
      <w:bookmarkEnd w:id="12"/>
    </w:p>
    <w:p w14:paraId="66154E3D" w14:textId="77777777" w:rsidR="00D23A2D" w:rsidRPr="00D23A2D" w:rsidRDefault="00D23A2D" w:rsidP="00D23A2D">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D23A2D">
        <w:rPr>
          <w:rFonts w:eastAsia="Times New Roman" w:cs="Times New Roman"/>
          <w:kern w:val="2"/>
          <w:szCs w:val="20"/>
        </w:rPr>
        <w:t>A.</w:t>
      </w:r>
      <w:r w:rsidRPr="00D23A2D">
        <w:rPr>
          <w:rFonts w:eastAsia="Times New Roman" w:cs="Times New Roman"/>
          <w:kern w:val="2"/>
          <w:szCs w:val="20"/>
        </w:rPr>
        <w:tab/>
        <w:t xml:space="preserve">Professional Services. An agency head may present a request to the state chief procurement officer to classify an independent contractor who has a professed knowledge of a department of learning or science used by its practical application to the affairs of others or in the practice of an art founded on it, as a professional in addition to those professions listed in R.S. 39:1556(42). Upon a showing that the profession advocated is a vocation founded upon prolonged and specialized intellectual training which enables particular service to be rendered, and that such professed attainments in special knowledge are distinguishable from mere skill, the state chief procurement officer may define, classify and add the profession to a table of professions which are exempt from competitive solicitation. </w:t>
      </w:r>
    </w:p>
    <w:p w14:paraId="5A67618F" w14:textId="77777777" w:rsidR="00D23A2D" w:rsidRPr="00D23A2D" w:rsidRDefault="00D23A2D" w:rsidP="00D23A2D">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D23A2D">
        <w:rPr>
          <w:rFonts w:eastAsia="Times New Roman" w:cs="Times New Roman"/>
          <w:kern w:val="2"/>
          <w:szCs w:val="20"/>
        </w:rPr>
        <w:t>B.</w:t>
      </w:r>
      <w:r w:rsidRPr="00D23A2D">
        <w:rPr>
          <w:rFonts w:eastAsia="Times New Roman" w:cs="Times New Roman"/>
          <w:kern w:val="2"/>
          <w:szCs w:val="20"/>
        </w:rPr>
        <w:tab/>
        <w:t>Social Services</w:t>
      </w:r>
    </w:p>
    <w:p w14:paraId="4B169E43" w14:textId="77777777" w:rsidR="00D23A2D" w:rsidRPr="00D23A2D" w:rsidRDefault="00D23A2D" w:rsidP="00D23A2D">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D23A2D">
        <w:rPr>
          <w:rFonts w:eastAsia="Times New Roman" w:cs="Times New Roman"/>
          <w:kern w:val="2"/>
          <w:szCs w:val="20"/>
        </w:rPr>
        <w:t>1.</w:t>
      </w:r>
      <w:r w:rsidRPr="00D23A2D">
        <w:rPr>
          <w:rFonts w:eastAsia="Times New Roman" w:cs="Times New Roman"/>
          <w:kern w:val="2"/>
          <w:szCs w:val="20"/>
        </w:rPr>
        <w:tab/>
        <w:t xml:space="preserve">An agency head may present a request to the state chief procurement officer to enumerate additional services other than those enumerated in R.S. 39:1619 which shall qualify as social services under the following categories: </w:t>
      </w:r>
    </w:p>
    <w:p w14:paraId="3DC25F16" w14:textId="77777777" w:rsidR="00D23A2D" w:rsidRPr="00D23A2D" w:rsidRDefault="00D23A2D" w:rsidP="00D23A2D">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D23A2D">
        <w:rPr>
          <w:rFonts w:eastAsia="Times New Roman" w:cs="Times New Roman"/>
          <w:kern w:val="2"/>
          <w:szCs w:val="20"/>
        </w:rPr>
        <w:t>a.</w:t>
      </w:r>
      <w:r w:rsidRPr="00D23A2D">
        <w:rPr>
          <w:rFonts w:eastAsia="Times New Roman" w:cs="Times New Roman"/>
          <w:kern w:val="2"/>
          <w:szCs w:val="20"/>
        </w:rPr>
        <w:tab/>
        <w:t xml:space="preserve">rehabilitation and health support </w:t>
      </w:r>
      <w:proofErr w:type="gramStart"/>
      <w:r w:rsidRPr="00D23A2D">
        <w:rPr>
          <w:rFonts w:eastAsia="Times New Roman" w:cs="Times New Roman"/>
          <w:kern w:val="2"/>
          <w:szCs w:val="20"/>
        </w:rPr>
        <w:t>services;</w:t>
      </w:r>
      <w:proofErr w:type="gramEnd"/>
      <w:r w:rsidRPr="00D23A2D">
        <w:rPr>
          <w:rFonts w:eastAsia="Times New Roman" w:cs="Times New Roman"/>
          <w:kern w:val="2"/>
          <w:szCs w:val="20"/>
        </w:rPr>
        <w:t xml:space="preserve"> </w:t>
      </w:r>
    </w:p>
    <w:p w14:paraId="64C6944D" w14:textId="77777777" w:rsidR="00D23A2D" w:rsidRPr="00D23A2D" w:rsidRDefault="00D23A2D" w:rsidP="00D23A2D">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D23A2D">
        <w:rPr>
          <w:rFonts w:eastAsia="Times New Roman" w:cs="Times New Roman"/>
          <w:kern w:val="2"/>
          <w:szCs w:val="20"/>
        </w:rPr>
        <w:t>b.</w:t>
      </w:r>
      <w:r w:rsidRPr="00D23A2D">
        <w:rPr>
          <w:rFonts w:eastAsia="Times New Roman" w:cs="Times New Roman"/>
          <w:kern w:val="2"/>
          <w:szCs w:val="20"/>
        </w:rPr>
        <w:tab/>
        <w:t xml:space="preserve">habilitation and socialization </w:t>
      </w:r>
      <w:proofErr w:type="gramStart"/>
      <w:r w:rsidRPr="00D23A2D">
        <w:rPr>
          <w:rFonts w:eastAsia="Times New Roman" w:cs="Times New Roman"/>
          <w:kern w:val="2"/>
          <w:szCs w:val="20"/>
        </w:rPr>
        <w:t>services;</w:t>
      </w:r>
      <w:proofErr w:type="gramEnd"/>
      <w:r w:rsidRPr="00D23A2D">
        <w:rPr>
          <w:rFonts w:eastAsia="Times New Roman" w:cs="Times New Roman"/>
          <w:kern w:val="2"/>
          <w:szCs w:val="20"/>
        </w:rPr>
        <w:t xml:space="preserve"> </w:t>
      </w:r>
    </w:p>
    <w:p w14:paraId="3134287D" w14:textId="77777777" w:rsidR="00D23A2D" w:rsidRPr="00D23A2D" w:rsidRDefault="00D23A2D" w:rsidP="00D23A2D">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D23A2D">
        <w:rPr>
          <w:rFonts w:eastAsia="Times New Roman" w:cs="Times New Roman"/>
          <w:kern w:val="2"/>
          <w:szCs w:val="20"/>
        </w:rPr>
        <w:t>c.</w:t>
      </w:r>
      <w:r w:rsidRPr="00D23A2D">
        <w:rPr>
          <w:rFonts w:eastAsia="Times New Roman" w:cs="Times New Roman"/>
          <w:kern w:val="2"/>
          <w:szCs w:val="20"/>
        </w:rPr>
        <w:tab/>
        <w:t xml:space="preserve">protection for adults and children </w:t>
      </w:r>
      <w:proofErr w:type="gramStart"/>
      <w:r w:rsidRPr="00D23A2D">
        <w:rPr>
          <w:rFonts w:eastAsia="Times New Roman" w:cs="Times New Roman"/>
          <w:kern w:val="2"/>
          <w:szCs w:val="20"/>
        </w:rPr>
        <w:t>services;</w:t>
      </w:r>
      <w:proofErr w:type="gramEnd"/>
      <w:r w:rsidRPr="00D23A2D">
        <w:rPr>
          <w:rFonts w:eastAsia="Times New Roman" w:cs="Times New Roman"/>
          <w:kern w:val="2"/>
          <w:szCs w:val="20"/>
        </w:rPr>
        <w:t xml:space="preserve"> </w:t>
      </w:r>
    </w:p>
    <w:p w14:paraId="39020712" w14:textId="77777777" w:rsidR="00D23A2D" w:rsidRPr="00D23A2D" w:rsidRDefault="00D23A2D" w:rsidP="00D23A2D">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D23A2D">
        <w:rPr>
          <w:rFonts w:eastAsia="Times New Roman" w:cs="Times New Roman"/>
          <w:kern w:val="2"/>
          <w:szCs w:val="20"/>
        </w:rPr>
        <w:t>d.</w:t>
      </w:r>
      <w:r w:rsidRPr="00D23A2D">
        <w:rPr>
          <w:rFonts w:eastAsia="Times New Roman" w:cs="Times New Roman"/>
          <w:kern w:val="2"/>
          <w:szCs w:val="20"/>
        </w:rPr>
        <w:tab/>
        <w:t xml:space="preserve">improvement of living conditions and health services; and </w:t>
      </w:r>
    </w:p>
    <w:p w14:paraId="1DD61834" w14:textId="77777777" w:rsidR="00D23A2D" w:rsidRPr="00D23A2D" w:rsidRDefault="00D23A2D" w:rsidP="00D23A2D">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D23A2D">
        <w:rPr>
          <w:rFonts w:eastAsia="Times New Roman" w:cs="Times New Roman"/>
          <w:kern w:val="2"/>
          <w:szCs w:val="20"/>
        </w:rPr>
        <w:t>e.</w:t>
      </w:r>
      <w:r w:rsidRPr="00D23A2D">
        <w:rPr>
          <w:rFonts w:eastAsia="Times New Roman" w:cs="Times New Roman"/>
          <w:kern w:val="2"/>
          <w:szCs w:val="20"/>
        </w:rPr>
        <w:tab/>
        <w:t xml:space="preserve">evaluation, testing, and remedial educational services (for exceptional nonpublic school students with disabilities). </w:t>
      </w:r>
    </w:p>
    <w:p w14:paraId="396B547D" w14:textId="77777777" w:rsidR="00D23A2D" w:rsidRPr="00D23A2D" w:rsidRDefault="00D23A2D" w:rsidP="00D23A2D">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D23A2D">
        <w:rPr>
          <w:rFonts w:eastAsia="Times New Roman" w:cs="Times New Roman"/>
          <w:kern w:val="2"/>
          <w:szCs w:val="20"/>
        </w:rPr>
        <w:t>2.</w:t>
      </w:r>
      <w:r w:rsidRPr="00D23A2D">
        <w:rPr>
          <w:rFonts w:eastAsia="Times New Roman" w:cs="Times New Roman"/>
          <w:kern w:val="2"/>
          <w:szCs w:val="20"/>
        </w:rPr>
        <w:tab/>
      </w:r>
      <w:proofErr w:type="gramStart"/>
      <w:r w:rsidRPr="00D23A2D">
        <w:rPr>
          <w:rFonts w:eastAsia="Times New Roman" w:cs="Times New Roman"/>
          <w:kern w:val="2"/>
          <w:szCs w:val="20"/>
        </w:rPr>
        <w:t>Upon a</w:t>
      </w:r>
      <w:proofErr w:type="gramEnd"/>
      <w:r w:rsidRPr="00D23A2D">
        <w:rPr>
          <w:rFonts w:eastAsia="Times New Roman" w:cs="Times New Roman"/>
          <w:kern w:val="2"/>
          <w:szCs w:val="20"/>
        </w:rPr>
        <w:t xml:space="preserve"> showing that an additional service is needed, is properly within the scope of an agency’s mission to provide, and is substantially similar, comparable or a logical extension of an enumerated service, the state chief procurement officer may define, classify and add the service to the appropriate category of services enumerated under R.S. 39:1619. </w:t>
      </w:r>
    </w:p>
    <w:p w14:paraId="659511D4" w14:textId="77777777" w:rsidR="00D23A2D" w:rsidRPr="00D23A2D" w:rsidRDefault="00D23A2D" w:rsidP="00D23A2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D23A2D">
        <w:rPr>
          <w:rFonts w:eastAsia="Times New Roman" w:cs="Times New Roman"/>
          <w:kern w:val="2"/>
          <w:sz w:val="18"/>
          <w:szCs w:val="20"/>
        </w:rPr>
        <w:t>AUTHORITY NOTE:</w:t>
      </w:r>
      <w:r w:rsidRPr="00D23A2D">
        <w:rPr>
          <w:rFonts w:eastAsia="Times New Roman" w:cs="Times New Roman"/>
          <w:kern w:val="2"/>
          <w:sz w:val="18"/>
          <w:szCs w:val="20"/>
        </w:rPr>
        <w:tab/>
        <w:t>Promulgated in accordance with R.S. 39:1561, R.S. 39:1556(42), and R.S. 39:1619.</w:t>
      </w:r>
    </w:p>
    <w:p w14:paraId="22D9EABA" w14:textId="77777777" w:rsidR="00D23A2D" w:rsidRPr="00D23A2D" w:rsidRDefault="00D23A2D" w:rsidP="00D23A2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D23A2D">
        <w:rPr>
          <w:rFonts w:eastAsia="Times New Roman" w:cs="Times New Roman"/>
          <w:kern w:val="2"/>
          <w:sz w:val="18"/>
          <w:szCs w:val="20"/>
        </w:rPr>
        <w:lastRenderedPageBreak/>
        <w:t>HISTORICAL NOTE:</w:t>
      </w:r>
      <w:r w:rsidRPr="00D23A2D">
        <w:rPr>
          <w:rFonts w:eastAsia="Times New Roman" w:cs="Times New Roman"/>
          <w:kern w:val="2"/>
          <w:sz w:val="18"/>
          <w:szCs w:val="20"/>
        </w:rPr>
        <w:tab/>
        <w:t>Promulgated by the Office of the Governor, Division of Administration, Office of State Procurement, 41:2762 (December 2015), amended LR 43:1109 (June 2017).</w:t>
      </w:r>
    </w:p>
    <w:p w14:paraId="1D0EACF3" w14:textId="77777777" w:rsidR="00D23A2D" w:rsidRPr="00D23A2D" w:rsidRDefault="00D23A2D" w:rsidP="00D23A2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13" w:name="_Toc18406440"/>
      <w:bookmarkStart w:id="14" w:name="_Toc214949798"/>
      <w:r w:rsidRPr="00D23A2D">
        <w:rPr>
          <w:rFonts w:eastAsia="Times New Roman" w:cs="Times New Roman"/>
          <w:b/>
          <w:kern w:val="2"/>
          <w:szCs w:val="20"/>
        </w:rPr>
        <w:t>§5107.</w:t>
      </w:r>
      <w:r w:rsidRPr="00D23A2D">
        <w:rPr>
          <w:rFonts w:eastAsia="Times New Roman" w:cs="Times New Roman"/>
          <w:b/>
          <w:kern w:val="2"/>
          <w:szCs w:val="20"/>
        </w:rPr>
        <w:tab/>
        <w:t>Removal</w:t>
      </w:r>
      <w:bookmarkEnd w:id="13"/>
      <w:bookmarkEnd w:id="14"/>
    </w:p>
    <w:p w14:paraId="570DB5C6" w14:textId="77777777" w:rsidR="00D23A2D" w:rsidRPr="00D23A2D" w:rsidRDefault="00D23A2D" w:rsidP="00D23A2D">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D23A2D">
        <w:rPr>
          <w:rFonts w:eastAsia="Times New Roman" w:cs="Times New Roman"/>
          <w:kern w:val="2"/>
          <w:szCs w:val="20"/>
        </w:rPr>
        <w:t>A.</w:t>
      </w:r>
      <w:r w:rsidRPr="00D23A2D">
        <w:rPr>
          <w:rFonts w:eastAsia="Times New Roman" w:cs="Times New Roman"/>
          <w:kern w:val="2"/>
          <w:szCs w:val="20"/>
        </w:rPr>
        <w:tab/>
        <w:t xml:space="preserve">Once added, nothing in this policy or in these procedures shall prevent the Office of State Procurement from removing </w:t>
      </w:r>
      <w:proofErr w:type="gramStart"/>
      <w:r w:rsidRPr="00D23A2D">
        <w:rPr>
          <w:rFonts w:eastAsia="Times New Roman" w:cs="Times New Roman"/>
          <w:kern w:val="2"/>
          <w:szCs w:val="20"/>
        </w:rPr>
        <w:t>a professional</w:t>
      </w:r>
      <w:proofErr w:type="gramEnd"/>
      <w:r w:rsidRPr="00D23A2D">
        <w:rPr>
          <w:rFonts w:eastAsia="Times New Roman" w:cs="Times New Roman"/>
          <w:kern w:val="2"/>
          <w:szCs w:val="20"/>
        </w:rPr>
        <w:t xml:space="preserve"> or social service from the Tables Appendix if it is deemed in the best interests of the state to do so. Once removed, </w:t>
      </w:r>
      <w:proofErr w:type="gramStart"/>
      <w:r w:rsidRPr="00D23A2D">
        <w:rPr>
          <w:rFonts w:eastAsia="Times New Roman" w:cs="Times New Roman"/>
          <w:kern w:val="2"/>
          <w:szCs w:val="20"/>
        </w:rPr>
        <w:t>a professional</w:t>
      </w:r>
      <w:proofErr w:type="gramEnd"/>
      <w:r w:rsidRPr="00D23A2D">
        <w:rPr>
          <w:rFonts w:eastAsia="Times New Roman" w:cs="Times New Roman"/>
          <w:kern w:val="2"/>
          <w:szCs w:val="20"/>
        </w:rPr>
        <w:t xml:space="preserve"> or social service shall not be restored without following the procedures in §5105 above. </w:t>
      </w:r>
    </w:p>
    <w:p w14:paraId="4403626B" w14:textId="77777777" w:rsidR="00D23A2D" w:rsidRPr="00D23A2D" w:rsidRDefault="00D23A2D" w:rsidP="00D23A2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D23A2D">
        <w:rPr>
          <w:rFonts w:eastAsia="Times New Roman" w:cs="Times New Roman"/>
          <w:kern w:val="2"/>
          <w:sz w:val="18"/>
          <w:szCs w:val="20"/>
        </w:rPr>
        <w:t>AUTHORITY NOTE:</w:t>
      </w:r>
      <w:r w:rsidRPr="00D23A2D">
        <w:rPr>
          <w:rFonts w:eastAsia="Times New Roman" w:cs="Times New Roman"/>
          <w:kern w:val="2"/>
          <w:sz w:val="18"/>
          <w:szCs w:val="20"/>
        </w:rPr>
        <w:tab/>
        <w:t xml:space="preserve">Promulgated in accordance with R.S. 39:1561, R.S. 39:1556(42), and R.S. 39:1619. </w:t>
      </w:r>
    </w:p>
    <w:p w14:paraId="50E37584" w14:textId="77777777" w:rsidR="00D23A2D" w:rsidRPr="00D23A2D" w:rsidRDefault="00D23A2D" w:rsidP="00D23A2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D23A2D">
        <w:rPr>
          <w:rFonts w:eastAsia="Times New Roman" w:cs="Times New Roman"/>
          <w:kern w:val="2"/>
          <w:sz w:val="18"/>
          <w:szCs w:val="20"/>
        </w:rPr>
        <w:t>HISTORICAL NOTE:</w:t>
      </w:r>
      <w:r w:rsidRPr="00D23A2D">
        <w:rPr>
          <w:rFonts w:eastAsia="Times New Roman" w:cs="Times New Roman"/>
          <w:kern w:val="2"/>
          <w:sz w:val="18"/>
          <w:szCs w:val="20"/>
        </w:rPr>
        <w:tab/>
        <w:t>Promulgated by the Office of the Governor, Division of Administration, Office of State Procurement, 41:2762 (December 2015), amended LR 43:1109 (June 2017).</w:t>
      </w:r>
    </w:p>
    <w:p w14:paraId="41203034" w14:textId="77777777" w:rsidR="00D23A2D" w:rsidRPr="00D23A2D" w:rsidRDefault="00D23A2D" w:rsidP="00D23A2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15" w:name="_Toc18406441"/>
      <w:bookmarkStart w:id="16" w:name="_Toc214949799"/>
      <w:r w:rsidRPr="00D23A2D">
        <w:rPr>
          <w:rFonts w:eastAsia="Times New Roman" w:cs="Times New Roman"/>
          <w:b/>
          <w:kern w:val="2"/>
          <w:szCs w:val="20"/>
        </w:rPr>
        <w:t>§5109.</w:t>
      </w:r>
      <w:r w:rsidRPr="00D23A2D">
        <w:rPr>
          <w:rFonts w:eastAsia="Times New Roman" w:cs="Times New Roman"/>
          <w:b/>
          <w:kern w:val="2"/>
          <w:szCs w:val="20"/>
        </w:rPr>
        <w:tab/>
        <w:t>Tables Appendix</w:t>
      </w:r>
      <w:bookmarkEnd w:id="15"/>
      <w:bookmarkEnd w:id="16"/>
    </w:p>
    <w:p w14:paraId="0AE62046" w14:textId="77777777" w:rsidR="00D23A2D" w:rsidRPr="00D23A2D" w:rsidRDefault="00D23A2D" w:rsidP="00D23A2D">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D23A2D">
        <w:rPr>
          <w:rFonts w:eastAsia="Times New Roman" w:cs="Times New Roman"/>
          <w:kern w:val="2"/>
          <w:szCs w:val="20"/>
        </w:rPr>
        <w:t>A.</w:t>
      </w:r>
      <w:r w:rsidRPr="00D23A2D">
        <w:rPr>
          <w:rFonts w:eastAsia="Times New Roman" w:cs="Times New Roman"/>
          <w:kern w:val="2"/>
          <w:szCs w:val="20"/>
        </w:rPr>
        <w:tab/>
        <w:t xml:space="preserve">Professional Services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58"/>
        <w:gridCol w:w="1854"/>
      </w:tblGrid>
      <w:tr w:rsidR="00D23A2D" w:rsidRPr="00D23A2D" w14:paraId="36A995DC" w14:textId="77777777" w:rsidTr="005B29A9">
        <w:trPr>
          <w:cantSplit/>
          <w:trHeight w:val="150"/>
          <w:jc w:val="center"/>
        </w:trPr>
        <w:tc>
          <w:tcPr>
            <w:tcW w:w="5112" w:type="dxa"/>
            <w:gridSpan w:val="2"/>
            <w:tcBorders>
              <w:bottom w:val="single" w:sz="4" w:space="0" w:color="auto"/>
            </w:tcBorders>
            <w:vAlign w:val="bottom"/>
          </w:tcPr>
          <w:p w14:paraId="3970C7B1" w14:textId="77777777" w:rsidR="00D23A2D" w:rsidRPr="00D23A2D" w:rsidRDefault="00D23A2D" w:rsidP="00D23A2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0" w:line="240" w:lineRule="auto"/>
              <w:ind w:firstLine="187"/>
              <w:jc w:val="both"/>
              <w:outlineLvl w:val="3"/>
              <w:rPr>
                <w:rFonts w:eastAsia="Times New Roman" w:cs="Times New Roman"/>
                <w:b/>
                <w:kern w:val="2"/>
                <w:sz w:val="16"/>
                <w:szCs w:val="16"/>
              </w:rPr>
            </w:pPr>
            <w:r w:rsidRPr="00D23A2D">
              <w:rPr>
                <w:rFonts w:eastAsia="Times New Roman" w:cs="Times New Roman"/>
                <w:b/>
                <w:kern w:val="2"/>
                <w:sz w:val="16"/>
                <w:szCs w:val="16"/>
              </w:rPr>
              <w:t>Table of Professional Services</w:t>
            </w:r>
          </w:p>
        </w:tc>
      </w:tr>
      <w:tr w:rsidR="00D23A2D" w:rsidRPr="00D23A2D" w14:paraId="12240732" w14:textId="77777777" w:rsidTr="005B29A9">
        <w:trPr>
          <w:cantSplit/>
          <w:jc w:val="center"/>
        </w:trPr>
        <w:tc>
          <w:tcPr>
            <w:tcW w:w="5112" w:type="dxa"/>
            <w:gridSpan w:val="2"/>
            <w:tcBorders>
              <w:top w:val="single" w:sz="4" w:space="0" w:color="auto"/>
              <w:bottom w:val="double" w:sz="4" w:space="0" w:color="auto"/>
            </w:tcBorders>
            <w:vAlign w:val="center"/>
          </w:tcPr>
          <w:p w14:paraId="22E6FA7B" w14:textId="77777777" w:rsidR="00D23A2D" w:rsidRPr="00D23A2D" w:rsidRDefault="00D23A2D" w:rsidP="00D23A2D">
            <w:pPr>
              <w:spacing w:after="0" w:line="240" w:lineRule="auto"/>
              <w:jc w:val="center"/>
              <w:rPr>
                <w:rFonts w:eastAsia="Times New Roman" w:cs="Times New Roman"/>
                <w:i/>
                <w:color w:val="000000"/>
                <w:sz w:val="16"/>
                <w:szCs w:val="16"/>
              </w:rPr>
            </w:pPr>
            <w:r w:rsidRPr="00D23A2D">
              <w:rPr>
                <w:rFonts w:eastAsia="Times New Roman" w:cs="Times New Roman"/>
                <w:i/>
                <w:color w:val="000000"/>
                <w:sz w:val="16"/>
                <w:szCs w:val="16"/>
              </w:rPr>
              <w:t>The following services shall supplement those listed in R.S. 39:1556(42).</w:t>
            </w:r>
          </w:p>
        </w:tc>
      </w:tr>
      <w:tr w:rsidR="00D23A2D" w:rsidRPr="00D23A2D" w14:paraId="37239BE8" w14:textId="77777777" w:rsidTr="005B29A9">
        <w:trPr>
          <w:cantSplit/>
          <w:jc w:val="center"/>
        </w:trPr>
        <w:tc>
          <w:tcPr>
            <w:tcW w:w="3258" w:type="dxa"/>
            <w:tcBorders>
              <w:top w:val="double" w:sz="4" w:space="0" w:color="auto"/>
            </w:tcBorders>
            <w:vAlign w:val="bottom"/>
          </w:tcPr>
          <w:p w14:paraId="0B34B9B9" w14:textId="77777777" w:rsidR="00D23A2D" w:rsidRPr="00D23A2D" w:rsidRDefault="00D23A2D" w:rsidP="00D23A2D">
            <w:pPr>
              <w:spacing w:after="0" w:line="240" w:lineRule="auto"/>
              <w:jc w:val="center"/>
              <w:rPr>
                <w:rFonts w:eastAsia="Times New Roman" w:cs="Times New Roman"/>
                <w:color w:val="000000"/>
                <w:sz w:val="16"/>
                <w:szCs w:val="16"/>
              </w:rPr>
            </w:pPr>
            <w:r w:rsidRPr="00D23A2D">
              <w:rPr>
                <w:rFonts w:eastAsia="Times New Roman" w:cs="Times New Roman"/>
                <w:color w:val="000000"/>
                <w:sz w:val="16"/>
                <w:szCs w:val="16"/>
              </w:rPr>
              <w:t>Service</w:t>
            </w:r>
          </w:p>
        </w:tc>
        <w:tc>
          <w:tcPr>
            <w:tcW w:w="1854" w:type="dxa"/>
            <w:tcBorders>
              <w:top w:val="double" w:sz="4" w:space="0" w:color="auto"/>
            </w:tcBorders>
            <w:vAlign w:val="bottom"/>
          </w:tcPr>
          <w:p w14:paraId="00C5964C" w14:textId="77777777" w:rsidR="00D23A2D" w:rsidRPr="00D23A2D" w:rsidRDefault="00D23A2D" w:rsidP="00D23A2D">
            <w:pPr>
              <w:spacing w:after="0" w:line="240" w:lineRule="auto"/>
              <w:jc w:val="center"/>
              <w:rPr>
                <w:rFonts w:eastAsia="Times New Roman" w:cs="Times New Roman"/>
                <w:color w:val="000000"/>
                <w:sz w:val="16"/>
                <w:szCs w:val="16"/>
              </w:rPr>
            </w:pPr>
            <w:r w:rsidRPr="00D23A2D">
              <w:rPr>
                <w:rFonts w:eastAsia="Times New Roman" w:cs="Times New Roman"/>
                <w:color w:val="000000"/>
                <w:sz w:val="16"/>
                <w:szCs w:val="16"/>
              </w:rPr>
              <w:t>Effective Date</w:t>
            </w:r>
          </w:p>
        </w:tc>
      </w:tr>
      <w:tr w:rsidR="00D23A2D" w:rsidRPr="00D23A2D" w14:paraId="4D52A3C5" w14:textId="77777777" w:rsidTr="005B29A9">
        <w:trPr>
          <w:cantSplit/>
          <w:jc w:val="center"/>
        </w:trPr>
        <w:tc>
          <w:tcPr>
            <w:tcW w:w="3258" w:type="dxa"/>
            <w:vAlign w:val="bottom"/>
          </w:tcPr>
          <w:p w14:paraId="6C20D2E5" w14:textId="77777777" w:rsidR="00D23A2D" w:rsidRPr="00D23A2D" w:rsidRDefault="00D23A2D" w:rsidP="00D23A2D">
            <w:pPr>
              <w:spacing w:after="0" w:line="240" w:lineRule="auto"/>
              <w:rPr>
                <w:rFonts w:eastAsia="Times New Roman" w:cs="Times New Roman"/>
                <w:color w:val="000000"/>
                <w:sz w:val="16"/>
                <w:szCs w:val="16"/>
              </w:rPr>
            </w:pPr>
            <w:r w:rsidRPr="00D23A2D">
              <w:rPr>
                <w:rFonts w:eastAsia="Times New Roman" w:cs="Times New Roman"/>
                <w:color w:val="000000"/>
                <w:sz w:val="16"/>
                <w:szCs w:val="16"/>
              </w:rPr>
              <w:t>Licensed chiropractors</w:t>
            </w:r>
          </w:p>
        </w:tc>
        <w:tc>
          <w:tcPr>
            <w:tcW w:w="1854" w:type="dxa"/>
            <w:vAlign w:val="bottom"/>
          </w:tcPr>
          <w:p w14:paraId="424788A9" w14:textId="77777777" w:rsidR="00D23A2D" w:rsidRPr="00D23A2D" w:rsidRDefault="00D23A2D" w:rsidP="00D23A2D">
            <w:pPr>
              <w:spacing w:after="0" w:line="240" w:lineRule="auto"/>
              <w:jc w:val="center"/>
              <w:rPr>
                <w:rFonts w:eastAsia="Times New Roman" w:cs="Times New Roman"/>
                <w:color w:val="000000"/>
                <w:sz w:val="16"/>
                <w:szCs w:val="16"/>
              </w:rPr>
            </w:pPr>
            <w:r w:rsidRPr="00D23A2D">
              <w:rPr>
                <w:rFonts w:eastAsia="Times New Roman" w:cs="Times New Roman"/>
                <w:color w:val="000000"/>
                <w:sz w:val="16"/>
                <w:szCs w:val="16"/>
              </w:rPr>
              <w:t>January 1, 2017</w:t>
            </w:r>
          </w:p>
        </w:tc>
      </w:tr>
      <w:tr w:rsidR="00D23A2D" w:rsidRPr="00D23A2D" w14:paraId="2DA9CD2F" w14:textId="77777777" w:rsidTr="005B29A9">
        <w:trPr>
          <w:cantSplit/>
          <w:jc w:val="center"/>
        </w:trPr>
        <w:tc>
          <w:tcPr>
            <w:tcW w:w="3258" w:type="dxa"/>
            <w:vAlign w:val="bottom"/>
          </w:tcPr>
          <w:p w14:paraId="76619760" w14:textId="77777777" w:rsidR="00D23A2D" w:rsidRPr="00D23A2D" w:rsidRDefault="00D23A2D" w:rsidP="00D23A2D">
            <w:pPr>
              <w:spacing w:after="0" w:line="240" w:lineRule="auto"/>
              <w:rPr>
                <w:rFonts w:eastAsia="Times New Roman" w:cs="Times New Roman"/>
                <w:color w:val="000000"/>
                <w:sz w:val="16"/>
                <w:szCs w:val="16"/>
              </w:rPr>
            </w:pPr>
            <w:r w:rsidRPr="00D23A2D">
              <w:rPr>
                <w:rFonts w:eastAsia="Times New Roman" w:cs="Times New Roman"/>
                <w:color w:val="000000"/>
                <w:sz w:val="16"/>
                <w:szCs w:val="16"/>
              </w:rPr>
              <w:t xml:space="preserve"> </w:t>
            </w:r>
          </w:p>
        </w:tc>
        <w:tc>
          <w:tcPr>
            <w:tcW w:w="1854" w:type="dxa"/>
            <w:vAlign w:val="bottom"/>
          </w:tcPr>
          <w:p w14:paraId="18F943C6" w14:textId="77777777" w:rsidR="00D23A2D" w:rsidRPr="00D23A2D" w:rsidRDefault="00D23A2D" w:rsidP="00D23A2D">
            <w:pPr>
              <w:spacing w:after="0" w:line="240" w:lineRule="auto"/>
              <w:jc w:val="center"/>
              <w:rPr>
                <w:rFonts w:eastAsia="Times New Roman" w:cs="Times New Roman"/>
                <w:color w:val="000000"/>
                <w:sz w:val="16"/>
                <w:szCs w:val="16"/>
              </w:rPr>
            </w:pPr>
            <w:r w:rsidRPr="00D23A2D">
              <w:rPr>
                <w:rFonts w:eastAsia="Times New Roman" w:cs="Times New Roman"/>
                <w:color w:val="000000"/>
                <w:sz w:val="16"/>
                <w:szCs w:val="16"/>
              </w:rPr>
              <w:t xml:space="preserve"> </w:t>
            </w:r>
          </w:p>
        </w:tc>
      </w:tr>
      <w:tr w:rsidR="00D23A2D" w:rsidRPr="00D23A2D" w14:paraId="73564945" w14:textId="77777777" w:rsidTr="005B29A9">
        <w:trPr>
          <w:cantSplit/>
          <w:jc w:val="center"/>
        </w:trPr>
        <w:tc>
          <w:tcPr>
            <w:tcW w:w="3258" w:type="dxa"/>
            <w:vAlign w:val="bottom"/>
          </w:tcPr>
          <w:p w14:paraId="66315E23" w14:textId="77777777" w:rsidR="00D23A2D" w:rsidRPr="00D23A2D" w:rsidRDefault="00D23A2D" w:rsidP="00D23A2D">
            <w:pPr>
              <w:spacing w:after="0" w:line="240" w:lineRule="auto"/>
              <w:rPr>
                <w:rFonts w:eastAsia="Times New Roman" w:cs="Times New Roman"/>
                <w:color w:val="000000"/>
                <w:sz w:val="16"/>
                <w:szCs w:val="16"/>
              </w:rPr>
            </w:pPr>
            <w:r w:rsidRPr="00D23A2D">
              <w:rPr>
                <w:rFonts w:eastAsia="Times New Roman" w:cs="Times New Roman"/>
                <w:color w:val="000000"/>
                <w:sz w:val="16"/>
                <w:szCs w:val="16"/>
              </w:rPr>
              <w:t xml:space="preserve"> </w:t>
            </w:r>
          </w:p>
        </w:tc>
        <w:tc>
          <w:tcPr>
            <w:tcW w:w="1854" w:type="dxa"/>
            <w:vAlign w:val="bottom"/>
          </w:tcPr>
          <w:p w14:paraId="0EF54B4C" w14:textId="77777777" w:rsidR="00D23A2D" w:rsidRPr="00D23A2D" w:rsidRDefault="00D23A2D" w:rsidP="00D23A2D">
            <w:pPr>
              <w:spacing w:after="0" w:line="240" w:lineRule="auto"/>
              <w:jc w:val="center"/>
              <w:rPr>
                <w:rFonts w:eastAsia="Times New Roman" w:cs="Times New Roman"/>
                <w:color w:val="000000"/>
                <w:sz w:val="16"/>
                <w:szCs w:val="16"/>
              </w:rPr>
            </w:pPr>
            <w:r w:rsidRPr="00D23A2D">
              <w:rPr>
                <w:rFonts w:eastAsia="Times New Roman" w:cs="Times New Roman"/>
                <w:color w:val="000000"/>
                <w:sz w:val="16"/>
                <w:szCs w:val="16"/>
              </w:rPr>
              <w:t xml:space="preserve"> </w:t>
            </w:r>
          </w:p>
        </w:tc>
      </w:tr>
      <w:tr w:rsidR="00D23A2D" w:rsidRPr="00D23A2D" w14:paraId="5249673A" w14:textId="77777777" w:rsidTr="005B29A9">
        <w:trPr>
          <w:cantSplit/>
          <w:jc w:val="center"/>
        </w:trPr>
        <w:tc>
          <w:tcPr>
            <w:tcW w:w="3258" w:type="dxa"/>
            <w:vAlign w:val="bottom"/>
          </w:tcPr>
          <w:p w14:paraId="5045D1C7" w14:textId="77777777" w:rsidR="00D23A2D" w:rsidRPr="00D23A2D" w:rsidRDefault="00D23A2D" w:rsidP="00D23A2D">
            <w:pPr>
              <w:spacing w:after="0" w:line="240" w:lineRule="auto"/>
              <w:rPr>
                <w:rFonts w:eastAsia="Times New Roman" w:cs="Times New Roman"/>
                <w:color w:val="000000"/>
                <w:sz w:val="16"/>
                <w:szCs w:val="16"/>
              </w:rPr>
            </w:pPr>
            <w:r w:rsidRPr="00D23A2D">
              <w:rPr>
                <w:rFonts w:eastAsia="Times New Roman" w:cs="Times New Roman"/>
                <w:color w:val="000000"/>
                <w:sz w:val="16"/>
                <w:szCs w:val="16"/>
              </w:rPr>
              <w:t xml:space="preserve"> </w:t>
            </w:r>
          </w:p>
        </w:tc>
        <w:tc>
          <w:tcPr>
            <w:tcW w:w="1854" w:type="dxa"/>
            <w:vAlign w:val="bottom"/>
          </w:tcPr>
          <w:p w14:paraId="218DA6EC" w14:textId="77777777" w:rsidR="00D23A2D" w:rsidRPr="00D23A2D" w:rsidRDefault="00D23A2D" w:rsidP="00D23A2D">
            <w:pPr>
              <w:spacing w:after="0" w:line="240" w:lineRule="auto"/>
              <w:jc w:val="center"/>
              <w:rPr>
                <w:rFonts w:eastAsia="Times New Roman" w:cs="Times New Roman"/>
                <w:color w:val="000000"/>
                <w:sz w:val="16"/>
                <w:szCs w:val="16"/>
              </w:rPr>
            </w:pPr>
            <w:r w:rsidRPr="00D23A2D">
              <w:rPr>
                <w:rFonts w:eastAsia="Times New Roman" w:cs="Times New Roman"/>
                <w:color w:val="000000"/>
                <w:sz w:val="16"/>
                <w:szCs w:val="16"/>
              </w:rPr>
              <w:t xml:space="preserve"> </w:t>
            </w:r>
          </w:p>
        </w:tc>
      </w:tr>
    </w:tbl>
    <w:p w14:paraId="6509FE73" w14:textId="77777777" w:rsidR="00D23A2D" w:rsidRPr="00D23A2D" w:rsidRDefault="00D23A2D" w:rsidP="00D23A2D">
      <w:pPr>
        <w:tabs>
          <w:tab w:val="left" w:pos="187"/>
          <w:tab w:val="left" w:pos="540"/>
          <w:tab w:val="left" w:pos="4500"/>
          <w:tab w:val="left" w:pos="4680"/>
          <w:tab w:val="left" w:pos="4860"/>
          <w:tab w:val="left" w:pos="5040"/>
          <w:tab w:val="left" w:pos="7200"/>
        </w:tabs>
        <w:spacing w:after="0" w:line="240" w:lineRule="auto"/>
        <w:ind w:firstLine="187"/>
        <w:jc w:val="both"/>
        <w:outlineLvl w:val="3"/>
        <w:rPr>
          <w:rFonts w:eastAsia="Times New Roman" w:cs="Times New Roman"/>
          <w:kern w:val="2"/>
          <w:szCs w:val="20"/>
        </w:rPr>
      </w:pPr>
    </w:p>
    <w:p w14:paraId="4B736E93" w14:textId="77777777" w:rsidR="00D23A2D" w:rsidRPr="00D23A2D" w:rsidRDefault="00D23A2D" w:rsidP="00D23A2D">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D23A2D">
        <w:rPr>
          <w:rFonts w:eastAsia="Times New Roman" w:cs="Times New Roman"/>
          <w:kern w:val="2"/>
          <w:szCs w:val="20"/>
        </w:rPr>
        <w:t>B.</w:t>
      </w:r>
      <w:r w:rsidRPr="00D23A2D">
        <w:rPr>
          <w:rFonts w:eastAsia="Times New Roman" w:cs="Times New Roman"/>
          <w:kern w:val="2"/>
          <w:szCs w:val="20"/>
        </w:rPr>
        <w:tab/>
        <w:t xml:space="preserve">Social Services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58"/>
        <w:gridCol w:w="1854"/>
      </w:tblGrid>
      <w:tr w:rsidR="00D23A2D" w:rsidRPr="00D23A2D" w14:paraId="2A83C845" w14:textId="77777777" w:rsidTr="005B29A9">
        <w:trPr>
          <w:cantSplit/>
          <w:jc w:val="center"/>
        </w:trPr>
        <w:tc>
          <w:tcPr>
            <w:tcW w:w="5112" w:type="dxa"/>
            <w:gridSpan w:val="2"/>
            <w:tcBorders>
              <w:bottom w:val="single" w:sz="4" w:space="0" w:color="auto"/>
            </w:tcBorders>
            <w:vAlign w:val="bottom"/>
          </w:tcPr>
          <w:p w14:paraId="2665CD5A" w14:textId="77777777" w:rsidR="00D23A2D" w:rsidRPr="00D23A2D" w:rsidRDefault="00D23A2D" w:rsidP="00D23A2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0" w:line="240" w:lineRule="auto"/>
              <w:ind w:firstLine="187"/>
              <w:jc w:val="both"/>
              <w:outlineLvl w:val="3"/>
              <w:rPr>
                <w:rFonts w:eastAsia="Times New Roman" w:cs="Times New Roman"/>
                <w:b/>
                <w:kern w:val="2"/>
                <w:sz w:val="16"/>
                <w:szCs w:val="16"/>
              </w:rPr>
            </w:pPr>
            <w:r w:rsidRPr="00D23A2D">
              <w:rPr>
                <w:rFonts w:eastAsia="Times New Roman" w:cs="Times New Roman"/>
                <w:b/>
                <w:kern w:val="2"/>
                <w:sz w:val="16"/>
                <w:szCs w:val="16"/>
              </w:rPr>
              <w:t>Table of Social Services</w:t>
            </w:r>
          </w:p>
        </w:tc>
      </w:tr>
      <w:tr w:rsidR="00D23A2D" w:rsidRPr="00D23A2D" w14:paraId="4313850C" w14:textId="77777777" w:rsidTr="005B29A9">
        <w:trPr>
          <w:cantSplit/>
          <w:jc w:val="center"/>
        </w:trPr>
        <w:tc>
          <w:tcPr>
            <w:tcW w:w="5112" w:type="dxa"/>
            <w:gridSpan w:val="2"/>
            <w:tcBorders>
              <w:top w:val="single" w:sz="4" w:space="0" w:color="auto"/>
              <w:bottom w:val="double" w:sz="4" w:space="0" w:color="auto"/>
            </w:tcBorders>
            <w:vAlign w:val="center"/>
          </w:tcPr>
          <w:p w14:paraId="1CA6B8FD" w14:textId="77777777" w:rsidR="00D23A2D" w:rsidRPr="00D23A2D" w:rsidRDefault="00D23A2D" w:rsidP="00D23A2D">
            <w:pPr>
              <w:spacing w:after="0" w:line="240" w:lineRule="auto"/>
              <w:jc w:val="center"/>
              <w:rPr>
                <w:rFonts w:eastAsia="Times New Roman" w:cs="Times New Roman"/>
                <w:i/>
                <w:color w:val="000000"/>
                <w:sz w:val="16"/>
                <w:szCs w:val="16"/>
              </w:rPr>
            </w:pPr>
            <w:r w:rsidRPr="00D23A2D">
              <w:rPr>
                <w:rFonts w:eastAsia="Times New Roman" w:cs="Times New Roman"/>
                <w:i/>
                <w:color w:val="000000"/>
                <w:sz w:val="16"/>
                <w:szCs w:val="16"/>
              </w:rPr>
              <w:t>The following services shall supplement those listed in R.S. 39:1619.</w:t>
            </w:r>
          </w:p>
        </w:tc>
      </w:tr>
      <w:tr w:rsidR="00D23A2D" w:rsidRPr="00D23A2D" w14:paraId="6F2A58E9" w14:textId="77777777" w:rsidTr="005B29A9">
        <w:trPr>
          <w:cantSplit/>
          <w:jc w:val="center"/>
        </w:trPr>
        <w:tc>
          <w:tcPr>
            <w:tcW w:w="3258" w:type="dxa"/>
            <w:tcBorders>
              <w:top w:val="double" w:sz="4" w:space="0" w:color="auto"/>
            </w:tcBorders>
            <w:vAlign w:val="bottom"/>
          </w:tcPr>
          <w:p w14:paraId="5EE3ED9B" w14:textId="77777777" w:rsidR="00D23A2D" w:rsidRPr="00D23A2D" w:rsidRDefault="00D23A2D" w:rsidP="00D23A2D">
            <w:pPr>
              <w:spacing w:after="0" w:line="240" w:lineRule="auto"/>
              <w:jc w:val="center"/>
              <w:rPr>
                <w:rFonts w:eastAsia="Times New Roman" w:cs="Times New Roman"/>
                <w:color w:val="000000"/>
                <w:sz w:val="16"/>
                <w:szCs w:val="16"/>
              </w:rPr>
            </w:pPr>
            <w:r w:rsidRPr="00D23A2D">
              <w:rPr>
                <w:rFonts w:eastAsia="Times New Roman" w:cs="Times New Roman"/>
                <w:color w:val="000000"/>
                <w:sz w:val="16"/>
                <w:szCs w:val="16"/>
              </w:rPr>
              <w:t>Service</w:t>
            </w:r>
          </w:p>
        </w:tc>
        <w:tc>
          <w:tcPr>
            <w:tcW w:w="1854" w:type="dxa"/>
            <w:tcBorders>
              <w:top w:val="double" w:sz="4" w:space="0" w:color="auto"/>
            </w:tcBorders>
            <w:vAlign w:val="bottom"/>
          </w:tcPr>
          <w:p w14:paraId="691F41C0" w14:textId="77777777" w:rsidR="00D23A2D" w:rsidRPr="00D23A2D" w:rsidRDefault="00D23A2D" w:rsidP="00D23A2D">
            <w:pPr>
              <w:spacing w:after="0" w:line="240" w:lineRule="auto"/>
              <w:jc w:val="center"/>
              <w:rPr>
                <w:rFonts w:eastAsia="Times New Roman" w:cs="Times New Roman"/>
                <w:color w:val="000000"/>
                <w:sz w:val="16"/>
                <w:szCs w:val="16"/>
              </w:rPr>
            </w:pPr>
            <w:r w:rsidRPr="00D23A2D">
              <w:rPr>
                <w:rFonts w:eastAsia="Times New Roman" w:cs="Times New Roman"/>
                <w:color w:val="000000"/>
                <w:sz w:val="16"/>
                <w:szCs w:val="16"/>
              </w:rPr>
              <w:t>Effective Date</w:t>
            </w:r>
          </w:p>
        </w:tc>
      </w:tr>
      <w:tr w:rsidR="00D23A2D" w:rsidRPr="00D23A2D" w14:paraId="6479CF31" w14:textId="77777777" w:rsidTr="005B29A9">
        <w:trPr>
          <w:cantSplit/>
          <w:jc w:val="center"/>
        </w:trPr>
        <w:tc>
          <w:tcPr>
            <w:tcW w:w="3258" w:type="dxa"/>
            <w:vAlign w:val="bottom"/>
          </w:tcPr>
          <w:p w14:paraId="46A1CDA4" w14:textId="77777777" w:rsidR="00D23A2D" w:rsidRPr="00D23A2D" w:rsidRDefault="00D23A2D" w:rsidP="00D23A2D">
            <w:pPr>
              <w:spacing w:after="0" w:line="240" w:lineRule="auto"/>
              <w:rPr>
                <w:rFonts w:eastAsia="Times New Roman" w:cs="Times New Roman"/>
                <w:color w:val="000000"/>
                <w:sz w:val="16"/>
                <w:szCs w:val="16"/>
              </w:rPr>
            </w:pPr>
            <w:r w:rsidRPr="00D23A2D">
              <w:rPr>
                <w:rFonts w:eastAsia="Times New Roman" w:cs="Times New Roman"/>
                <w:color w:val="000000"/>
                <w:sz w:val="16"/>
                <w:szCs w:val="16"/>
              </w:rPr>
              <w:t xml:space="preserve"> </w:t>
            </w:r>
          </w:p>
        </w:tc>
        <w:tc>
          <w:tcPr>
            <w:tcW w:w="1854" w:type="dxa"/>
            <w:vAlign w:val="bottom"/>
          </w:tcPr>
          <w:p w14:paraId="485AF51A" w14:textId="77777777" w:rsidR="00D23A2D" w:rsidRPr="00D23A2D" w:rsidRDefault="00D23A2D" w:rsidP="00D23A2D">
            <w:pPr>
              <w:spacing w:after="0" w:line="240" w:lineRule="auto"/>
              <w:jc w:val="center"/>
              <w:rPr>
                <w:rFonts w:eastAsia="Times New Roman" w:cs="Times New Roman"/>
                <w:color w:val="000000"/>
                <w:sz w:val="16"/>
                <w:szCs w:val="16"/>
              </w:rPr>
            </w:pPr>
            <w:r w:rsidRPr="00D23A2D">
              <w:rPr>
                <w:rFonts w:eastAsia="Times New Roman" w:cs="Times New Roman"/>
                <w:color w:val="000000"/>
                <w:sz w:val="16"/>
                <w:szCs w:val="16"/>
              </w:rPr>
              <w:t xml:space="preserve"> </w:t>
            </w:r>
          </w:p>
        </w:tc>
      </w:tr>
      <w:tr w:rsidR="00D23A2D" w:rsidRPr="00D23A2D" w14:paraId="63445D60" w14:textId="77777777" w:rsidTr="005B29A9">
        <w:trPr>
          <w:cantSplit/>
          <w:jc w:val="center"/>
        </w:trPr>
        <w:tc>
          <w:tcPr>
            <w:tcW w:w="3258" w:type="dxa"/>
            <w:vAlign w:val="bottom"/>
          </w:tcPr>
          <w:p w14:paraId="300E8875" w14:textId="77777777" w:rsidR="00D23A2D" w:rsidRPr="00D23A2D" w:rsidRDefault="00D23A2D" w:rsidP="00D23A2D">
            <w:pPr>
              <w:spacing w:after="0" w:line="240" w:lineRule="auto"/>
              <w:rPr>
                <w:rFonts w:eastAsia="Times New Roman" w:cs="Times New Roman"/>
                <w:color w:val="000000"/>
                <w:sz w:val="16"/>
                <w:szCs w:val="16"/>
              </w:rPr>
            </w:pPr>
            <w:r w:rsidRPr="00D23A2D">
              <w:rPr>
                <w:rFonts w:eastAsia="Times New Roman" w:cs="Times New Roman"/>
                <w:color w:val="000000"/>
                <w:sz w:val="16"/>
                <w:szCs w:val="16"/>
              </w:rPr>
              <w:t xml:space="preserve"> </w:t>
            </w:r>
          </w:p>
        </w:tc>
        <w:tc>
          <w:tcPr>
            <w:tcW w:w="1854" w:type="dxa"/>
            <w:vAlign w:val="bottom"/>
          </w:tcPr>
          <w:p w14:paraId="3895BB6F" w14:textId="77777777" w:rsidR="00D23A2D" w:rsidRPr="00D23A2D" w:rsidRDefault="00D23A2D" w:rsidP="00D23A2D">
            <w:pPr>
              <w:spacing w:after="0" w:line="240" w:lineRule="auto"/>
              <w:jc w:val="center"/>
              <w:rPr>
                <w:rFonts w:eastAsia="Times New Roman" w:cs="Times New Roman"/>
                <w:color w:val="000000"/>
                <w:sz w:val="16"/>
                <w:szCs w:val="16"/>
              </w:rPr>
            </w:pPr>
            <w:r w:rsidRPr="00D23A2D">
              <w:rPr>
                <w:rFonts w:eastAsia="Times New Roman" w:cs="Times New Roman"/>
                <w:color w:val="000000"/>
                <w:sz w:val="16"/>
                <w:szCs w:val="16"/>
              </w:rPr>
              <w:t xml:space="preserve"> </w:t>
            </w:r>
          </w:p>
        </w:tc>
      </w:tr>
      <w:tr w:rsidR="00D23A2D" w:rsidRPr="00D23A2D" w14:paraId="27007E1D" w14:textId="77777777" w:rsidTr="005B29A9">
        <w:trPr>
          <w:cantSplit/>
          <w:jc w:val="center"/>
        </w:trPr>
        <w:tc>
          <w:tcPr>
            <w:tcW w:w="3258" w:type="dxa"/>
            <w:vAlign w:val="bottom"/>
          </w:tcPr>
          <w:p w14:paraId="50BF13BA" w14:textId="77777777" w:rsidR="00D23A2D" w:rsidRPr="00D23A2D" w:rsidRDefault="00D23A2D" w:rsidP="00D23A2D">
            <w:pPr>
              <w:spacing w:after="0" w:line="240" w:lineRule="auto"/>
              <w:rPr>
                <w:rFonts w:eastAsia="Times New Roman" w:cs="Times New Roman"/>
                <w:color w:val="000000"/>
                <w:sz w:val="16"/>
                <w:szCs w:val="16"/>
              </w:rPr>
            </w:pPr>
            <w:r w:rsidRPr="00D23A2D">
              <w:rPr>
                <w:rFonts w:eastAsia="Times New Roman" w:cs="Times New Roman"/>
                <w:color w:val="000000"/>
                <w:sz w:val="16"/>
                <w:szCs w:val="16"/>
              </w:rPr>
              <w:t xml:space="preserve"> </w:t>
            </w:r>
          </w:p>
        </w:tc>
        <w:tc>
          <w:tcPr>
            <w:tcW w:w="1854" w:type="dxa"/>
            <w:vAlign w:val="bottom"/>
          </w:tcPr>
          <w:p w14:paraId="4D6496F8" w14:textId="77777777" w:rsidR="00D23A2D" w:rsidRPr="00D23A2D" w:rsidRDefault="00D23A2D" w:rsidP="00D23A2D">
            <w:pPr>
              <w:spacing w:after="0" w:line="240" w:lineRule="auto"/>
              <w:jc w:val="center"/>
              <w:rPr>
                <w:rFonts w:eastAsia="Times New Roman" w:cs="Times New Roman"/>
                <w:color w:val="000000"/>
                <w:sz w:val="16"/>
                <w:szCs w:val="16"/>
              </w:rPr>
            </w:pPr>
            <w:r w:rsidRPr="00D23A2D">
              <w:rPr>
                <w:rFonts w:eastAsia="Times New Roman" w:cs="Times New Roman"/>
                <w:color w:val="000000"/>
                <w:sz w:val="16"/>
                <w:szCs w:val="16"/>
              </w:rPr>
              <w:t xml:space="preserve"> </w:t>
            </w:r>
          </w:p>
        </w:tc>
      </w:tr>
      <w:tr w:rsidR="00D23A2D" w:rsidRPr="00D23A2D" w14:paraId="227B82EE" w14:textId="77777777" w:rsidTr="005B29A9">
        <w:trPr>
          <w:cantSplit/>
          <w:jc w:val="center"/>
        </w:trPr>
        <w:tc>
          <w:tcPr>
            <w:tcW w:w="3258" w:type="dxa"/>
            <w:vAlign w:val="bottom"/>
          </w:tcPr>
          <w:p w14:paraId="58F2E617" w14:textId="77777777" w:rsidR="00D23A2D" w:rsidRPr="00D23A2D" w:rsidRDefault="00D23A2D" w:rsidP="00D23A2D">
            <w:pPr>
              <w:spacing w:after="0" w:line="240" w:lineRule="auto"/>
              <w:rPr>
                <w:rFonts w:eastAsia="Times New Roman" w:cs="Times New Roman"/>
                <w:color w:val="000000"/>
                <w:sz w:val="16"/>
                <w:szCs w:val="16"/>
              </w:rPr>
            </w:pPr>
            <w:r w:rsidRPr="00D23A2D">
              <w:rPr>
                <w:rFonts w:eastAsia="Times New Roman" w:cs="Times New Roman"/>
                <w:color w:val="000000"/>
                <w:sz w:val="16"/>
                <w:szCs w:val="16"/>
              </w:rPr>
              <w:t xml:space="preserve"> </w:t>
            </w:r>
          </w:p>
        </w:tc>
        <w:tc>
          <w:tcPr>
            <w:tcW w:w="1854" w:type="dxa"/>
            <w:vAlign w:val="bottom"/>
          </w:tcPr>
          <w:p w14:paraId="7971EC19" w14:textId="77777777" w:rsidR="00D23A2D" w:rsidRPr="00D23A2D" w:rsidRDefault="00D23A2D" w:rsidP="00D23A2D">
            <w:pPr>
              <w:spacing w:after="0" w:line="240" w:lineRule="auto"/>
              <w:jc w:val="center"/>
              <w:rPr>
                <w:rFonts w:eastAsia="Times New Roman" w:cs="Times New Roman"/>
                <w:color w:val="000000"/>
                <w:sz w:val="16"/>
                <w:szCs w:val="16"/>
              </w:rPr>
            </w:pPr>
            <w:r w:rsidRPr="00D23A2D">
              <w:rPr>
                <w:rFonts w:eastAsia="Times New Roman" w:cs="Times New Roman"/>
                <w:color w:val="000000"/>
                <w:sz w:val="16"/>
                <w:szCs w:val="16"/>
              </w:rPr>
              <w:t xml:space="preserve"> </w:t>
            </w:r>
          </w:p>
        </w:tc>
      </w:tr>
    </w:tbl>
    <w:p w14:paraId="775AA412" w14:textId="77777777" w:rsidR="00D23A2D" w:rsidRPr="00D23A2D" w:rsidRDefault="00D23A2D" w:rsidP="00D23A2D">
      <w:pPr>
        <w:tabs>
          <w:tab w:val="left" w:pos="187"/>
          <w:tab w:val="left" w:pos="540"/>
          <w:tab w:val="left" w:pos="4500"/>
          <w:tab w:val="left" w:pos="4680"/>
          <w:tab w:val="left" w:pos="4860"/>
          <w:tab w:val="left" w:pos="5040"/>
          <w:tab w:val="left" w:pos="7200"/>
        </w:tabs>
        <w:spacing w:after="0" w:line="240" w:lineRule="auto"/>
        <w:ind w:firstLine="187"/>
        <w:jc w:val="both"/>
        <w:outlineLvl w:val="3"/>
        <w:rPr>
          <w:rFonts w:eastAsia="Times New Roman" w:cs="Times New Roman"/>
          <w:kern w:val="2"/>
          <w:szCs w:val="20"/>
        </w:rPr>
      </w:pPr>
    </w:p>
    <w:p w14:paraId="6B554EE8" w14:textId="77777777" w:rsidR="00D23A2D" w:rsidRPr="00D23A2D" w:rsidRDefault="00D23A2D" w:rsidP="00D23A2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Cs w:val="20"/>
        </w:rPr>
      </w:pPr>
      <w:r w:rsidRPr="00D23A2D">
        <w:rPr>
          <w:rFonts w:eastAsia="Times New Roman" w:cs="Times New Roman"/>
          <w:kern w:val="2"/>
          <w:sz w:val="18"/>
          <w:szCs w:val="20"/>
        </w:rPr>
        <w:t>AUTHORITY NOTE:</w:t>
      </w:r>
      <w:r w:rsidRPr="00D23A2D">
        <w:rPr>
          <w:rFonts w:eastAsia="Times New Roman" w:cs="Times New Roman"/>
          <w:kern w:val="2"/>
          <w:sz w:val="18"/>
          <w:szCs w:val="20"/>
        </w:rPr>
        <w:tab/>
        <w:t>Promulgated in accordance with R.S. 39:1561, R.S. 39:1556(42), and R.S. 39:1619.</w:t>
      </w:r>
    </w:p>
    <w:p w14:paraId="42C10A99" w14:textId="77777777" w:rsidR="00D23A2D" w:rsidRPr="00D23A2D" w:rsidRDefault="00D23A2D" w:rsidP="00D23A2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D23A2D">
        <w:rPr>
          <w:rFonts w:eastAsia="Times New Roman" w:cs="Times New Roman"/>
          <w:kern w:val="2"/>
          <w:sz w:val="18"/>
          <w:szCs w:val="20"/>
        </w:rPr>
        <w:t>HISTORICAL NOTE:</w:t>
      </w:r>
      <w:r w:rsidRPr="00D23A2D">
        <w:rPr>
          <w:rFonts w:eastAsia="Times New Roman" w:cs="Times New Roman"/>
          <w:kern w:val="2"/>
          <w:sz w:val="18"/>
          <w:szCs w:val="20"/>
        </w:rPr>
        <w:tab/>
        <w:t>Promulgated by the Office of the Governor, Division of Administration, Office of State Procurement, LR 41:2762 (December 2015), amended LR 43:1109 (June 2017).</w:t>
      </w:r>
    </w:p>
    <w:p w14:paraId="0ECB217E" w14:textId="77777777" w:rsidR="000936E7" w:rsidRDefault="000936E7"/>
    <w:sectPr w:rsidR="00093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2D"/>
    <w:rsid w:val="000936E7"/>
    <w:rsid w:val="00951369"/>
    <w:rsid w:val="00957EC0"/>
    <w:rsid w:val="00D2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78EF"/>
  <w15:chartTrackingRefBased/>
  <w15:docId w15:val="{1B81AD7F-7AEA-44BB-8CED-EA7DB9AC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A2D"/>
  </w:style>
  <w:style w:type="paragraph" w:styleId="Heading1">
    <w:name w:val="heading 1"/>
    <w:basedOn w:val="Normal"/>
    <w:next w:val="Normal"/>
    <w:link w:val="Heading1Char"/>
    <w:uiPriority w:val="9"/>
    <w:qFormat/>
    <w:rsid w:val="00D23A2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23A2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23A2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23A2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23A2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23A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3A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3A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3A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A2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23A2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23A2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23A2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D23A2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D23A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3A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3A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3A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3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A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A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3A2D"/>
    <w:pPr>
      <w:spacing w:before="160"/>
      <w:jc w:val="center"/>
    </w:pPr>
    <w:rPr>
      <w:i/>
      <w:iCs/>
      <w:color w:val="404040" w:themeColor="text1" w:themeTint="BF"/>
    </w:rPr>
  </w:style>
  <w:style w:type="character" w:customStyle="1" w:styleId="QuoteChar">
    <w:name w:val="Quote Char"/>
    <w:basedOn w:val="DefaultParagraphFont"/>
    <w:link w:val="Quote"/>
    <w:uiPriority w:val="29"/>
    <w:rsid w:val="00D23A2D"/>
    <w:rPr>
      <w:i/>
      <w:iCs/>
      <w:color w:val="404040" w:themeColor="text1" w:themeTint="BF"/>
    </w:rPr>
  </w:style>
  <w:style w:type="paragraph" w:styleId="ListParagraph">
    <w:name w:val="List Paragraph"/>
    <w:basedOn w:val="Normal"/>
    <w:uiPriority w:val="34"/>
    <w:qFormat/>
    <w:rsid w:val="00D23A2D"/>
    <w:pPr>
      <w:ind w:left="720"/>
      <w:contextualSpacing/>
    </w:pPr>
  </w:style>
  <w:style w:type="character" w:styleId="IntenseEmphasis">
    <w:name w:val="Intense Emphasis"/>
    <w:basedOn w:val="DefaultParagraphFont"/>
    <w:uiPriority w:val="21"/>
    <w:qFormat/>
    <w:rsid w:val="00D23A2D"/>
    <w:rPr>
      <w:i/>
      <w:iCs/>
      <w:color w:val="2E74B5" w:themeColor="accent1" w:themeShade="BF"/>
    </w:rPr>
  </w:style>
  <w:style w:type="paragraph" w:styleId="IntenseQuote">
    <w:name w:val="Intense Quote"/>
    <w:basedOn w:val="Normal"/>
    <w:next w:val="Normal"/>
    <w:link w:val="IntenseQuoteChar"/>
    <w:uiPriority w:val="30"/>
    <w:qFormat/>
    <w:rsid w:val="00D23A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23A2D"/>
    <w:rPr>
      <w:i/>
      <w:iCs/>
      <w:color w:val="2E74B5" w:themeColor="accent1" w:themeShade="BF"/>
    </w:rPr>
  </w:style>
  <w:style w:type="character" w:styleId="IntenseReference">
    <w:name w:val="Intense Reference"/>
    <w:basedOn w:val="DefaultParagraphFont"/>
    <w:uiPriority w:val="32"/>
    <w:qFormat/>
    <w:rsid w:val="00D23A2D"/>
    <w:rPr>
      <w:b/>
      <w:bCs/>
      <w:smallCaps/>
      <w:color w:val="2E74B5" w:themeColor="accent1" w:themeShade="BF"/>
      <w:spacing w:val="5"/>
    </w:rPr>
  </w:style>
  <w:style w:type="paragraph" w:customStyle="1" w:styleId="Part">
    <w:name w:val="Part"/>
    <w:basedOn w:val="Title"/>
    <w:rsid w:val="00D23A2D"/>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Title1">
    <w:name w:val="Title1"/>
    <w:basedOn w:val="Title"/>
    <w:next w:val="Title2"/>
    <w:rsid w:val="00D23A2D"/>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Normal"/>
    <w:rsid w:val="00D23A2D"/>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pPr>
    <w:rPr>
      <w:rFonts w:eastAsia="Times New Roman" w:cs="Times New Roman"/>
      <w:b/>
      <w:caps/>
      <w:kern w:val="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785</Words>
  <Characters>4461</Characters>
  <Application>Microsoft Office Word</Application>
  <DocSecurity>0</DocSecurity>
  <Lines>58</Lines>
  <Paragraphs>26</Paragraphs>
  <ScaleCrop>false</ScaleCrop>
  <Company>State of Louisiana</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1</cp:revision>
  <dcterms:created xsi:type="dcterms:W3CDTF">2026-02-05T18:37:00Z</dcterms:created>
  <dcterms:modified xsi:type="dcterms:W3CDTF">2026-02-05T18:39:00Z</dcterms:modified>
</cp:coreProperties>
</file>