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5608F4" w14:textId="77777777" w:rsidR="00114168" w:rsidRDefault="00114168" w:rsidP="00114168">
      <w:pPr>
        <w:pStyle w:val="RegItemFirstLine"/>
        <w:rPr>
          <w:rFonts w:eastAsia="Calibri"/>
        </w:rPr>
      </w:pPr>
      <w:bookmarkStart w:id="0" w:name="_Hlk213313544"/>
      <w:bookmarkStart w:id="1" w:name="_Hlk213302679"/>
      <w:bookmarkStart w:id="2" w:name="_Toc293304273"/>
      <w:bookmarkStart w:id="3" w:name="_Toc8977384"/>
      <w:bookmarkStart w:id="4" w:name="_Toc406567650"/>
      <w:bookmarkStart w:id="5" w:name="_Toc406567651"/>
      <w:bookmarkStart w:id="6" w:name="_Toc536435982"/>
      <w:bookmarkStart w:id="7" w:name="_Toc293304274"/>
      <w:bookmarkStart w:id="8" w:name="TextCutPoint"/>
      <w:r>
        <w:rPr>
          <w:rFonts w:eastAsia="Calibri"/>
        </w:rPr>
        <w:t>DECLARATION OF EMERGENCY</w:t>
      </w:r>
    </w:p>
    <w:p w14:paraId="43A2308A" w14:textId="77777777" w:rsidR="00114168" w:rsidRDefault="00114168" w:rsidP="00114168">
      <w:pPr>
        <w:pStyle w:val="RegDepartment"/>
        <w:rPr>
          <w:rFonts w:eastAsia="Calibri"/>
        </w:rPr>
      </w:pPr>
      <w:r w:rsidRPr="00114168">
        <w:rPr>
          <w:rFonts w:eastAsia="Calibri"/>
        </w:rPr>
        <w:t>Office of the</w:t>
      </w:r>
      <w:r>
        <w:rPr>
          <w:rFonts w:eastAsia="Calibri"/>
        </w:rPr>
        <w:t xml:space="preserve"> Governor</w:t>
      </w:r>
    </w:p>
    <w:p w14:paraId="402CE4F1" w14:textId="77777777" w:rsidR="00114168" w:rsidRPr="00114168" w:rsidRDefault="00114168" w:rsidP="00114168">
      <w:pPr>
        <w:pStyle w:val="RegDepartment"/>
        <w:rPr>
          <w:rFonts w:eastAsia="Calibri"/>
        </w:rPr>
      </w:pPr>
      <w:r>
        <w:rPr>
          <w:rFonts w:eastAsia="Calibri"/>
        </w:rPr>
        <w:t>Uniform Construction Code Council</w:t>
      </w:r>
    </w:p>
    <w:bookmarkEnd w:id="0"/>
    <w:p w14:paraId="1557BDFB" w14:textId="77777777" w:rsidR="00114168" w:rsidRDefault="00C405E4" w:rsidP="00114168">
      <w:pPr>
        <w:pStyle w:val="RegItemTitle"/>
        <w:spacing w:before="240"/>
        <w:rPr>
          <w:rFonts w:eastAsia="Calibri"/>
        </w:rPr>
      </w:pPr>
      <w:r w:rsidRPr="00C405E4">
        <w:rPr>
          <w:rFonts w:eastAsia="Calibri"/>
        </w:rPr>
        <w:t>International Existing Building Code (LAC 17:I.105)</w:t>
      </w:r>
    </w:p>
    <w:p w14:paraId="62200426" w14:textId="77777777" w:rsidR="00C405E4" w:rsidRPr="00C405E4" w:rsidRDefault="00C405E4" w:rsidP="00114168">
      <w:pPr>
        <w:pStyle w:val="A0"/>
        <w:rPr>
          <w:rFonts w:eastAsia="Calibri"/>
        </w:rPr>
      </w:pPr>
      <w:bookmarkStart w:id="9" w:name="_Hlk213238209"/>
      <w:r w:rsidRPr="00C405E4">
        <w:rPr>
          <w:rFonts w:eastAsia="Calibri"/>
        </w:rPr>
        <w:t>The Uniform Construction Code Council, hereafter referred to as the “LSUCCC” or the “Council”, has exercised the emergency provision in accordance with R.S. 49:</w:t>
      </w:r>
      <w:r w:rsidR="001303FD">
        <w:rPr>
          <w:rFonts w:eastAsia="Calibri"/>
        </w:rPr>
        <w:t>962</w:t>
      </w:r>
      <w:r w:rsidRPr="00C405E4">
        <w:rPr>
          <w:rFonts w:eastAsia="Calibri"/>
        </w:rPr>
        <w:t xml:space="preserve"> of the Administrative Procedure Act, to amend LAC </w:t>
      </w:r>
      <w:proofErr w:type="gramStart"/>
      <w:r w:rsidRPr="00C405E4">
        <w:rPr>
          <w:rFonts w:eastAsia="Calibri"/>
        </w:rPr>
        <w:t>17:I.</w:t>
      </w:r>
      <w:proofErr w:type="gramEnd"/>
      <w:r w:rsidRPr="00C405E4">
        <w:rPr>
          <w:rFonts w:eastAsia="Calibri"/>
        </w:rPr>
        <w:t>105 in the Uniform Construction Code as authorized by R.S.40:1730.28.</w:t>
      </w:r>
      <w:r w:rsidR="00114168">
        <w:rPr>
          <w:rFonts w:eastAsia="Calibri"/>
        </w:rPr>
        <w:t xml:space="preserve"> </w:t>
      </w:r>
      <w:bookmarkStart w:id="10" w:name="_Hlk213239479"/>
      <w:r w:rsidRPr="00C405E4">
        <w:rPr>
          <w:rFonts w:eastAsia="Calibri"/>
        </w:rPr>
        <w:t xml:space="preserve">Furthermore, the LSUCCC has found an immediate need to </w:t>
      </w:r>
      <w:bookmarkEnd w:id="1"/>
      <w:r w:rsidRPr="00C405E4">
        <w:rPr>
          <w:rFonts w:eastAsia="Calibri"/>
        </w:rPr>
        <w:t xml:space="preserve">adopt by emergency process the attached </w:t>
      </w:r>
      <w:bookmarkStart w:id="11" w:name="_Hlk213239578"/>
      <w:r w:rsidRPr="00C405E4">
        <w:rPr>
          <w:rFonts w:eastAsia="Calibri"/>
        </w:rPr>
        <w:t>Rule relative to amending the</w:t>
      </w:r>
      <w:r w:rsidRPr="00C405E4">
        <w:rPr>
          <w:rFonts w:eastAsia="Calibri"/>
          <w:i/>
          <w:iCs/>
        </w:rPr>
        <w:t xml:space="preserve"> 2021 International Existing Building Code </w:t>
      </w:r>
      <w:r w:rsidRPr="00C405E4">
        <w:rPr>
          <w:rFonts w:eastAsia="Calibri"/>
        </w:rPr>
        <w:t xml:space="preserve">by amending </w:t>
      </w:r>
      <w:bookmarkEnd w:id="11"/>
      <w:r w:rsidRPr="00C405E4">
        <w:rPr>
          <w:rFonts w:eastAsia="Calibri"/>
        </w:rPr>
        <w:t xml:space="preserve">Chapter 2, Definitions; adopting Section 201.5, </w:t>
      </w:r>
      <w:bookmarkStart w:id="12" w:name="_Hlk213239702"/>
      <w:r w:rsidRPr="00C405E4">
        <w:rPr>
          <w:rFonts w:eastAsia="Calibri"/>
        </w:rPr>
        <w:t>Reference Standards; and the applicable standards referenced in that code are included for regulation of construction</w:t>
      </w:r>
      <w:bookmarkEnd w:id="12"/>
      <w:r w:rsidRPr="00C405E4">
        <w:rPr>
          <w:rFonts w:eastAsia="Calibri"/>
        </w:rPr>
        <w:t>.</w:t>
      </w:r>
      <w:bookmarkEnd w:id="10"/>
      <w:r w:rsidR="00114168">
        <w:rPr>
          <w:rFonts w:eastAsia="Calibri"/>
        </w:rPr>
        <w:t xml:space="preserve"> </w:t>
      </w:r>
      <w:bookmarkEnd w:id="9"/>
      <w:r w:rsidRPr="00C405E4">
        <w:rPr>
          <w:rFonts w:eastAsia="Calibri"/>
        </w:rPr>
        <w:t>These changes are a direct result of the need to provide reference standards for the conveyance industry in line with R.S. 40:1646 and R.S. 40:1664.1 et seq. This amendment will serve to better protect the public and to follow national guidelines for occupants to live and work in safe, healthy, resilient environments.</w:t>
      </w:r>
    </w:p>
    <w:p w14:paraId="014C07F7" w14:textId="77777777" w:rsidR="00114168" w:rsidRDefault="00C405E4" w:rsidP="00114168">
      <w:pPr>
        <w:pStyle w:val="A0"/>
        <w:rPr>
          <w:rFonts w:eastAsia="Calibri"/>
        </w:rPr>
      </w:pPr>
      <w:r w:rsidRPr="00C405E4">
        <w:rPr>
          <w:rFonts w:eastAsia="Calibri"/>
        </w:rPr>
        <w:t xml:space="preserve">The LSUCCC is promulgating this Emergency Rule amendment to provide greater health and safety for the public and for those living and working in conditioned spaces. These rules were first adopted and published in Volume 33, Number 291, of the </w:t>
      </w:r>
      <w:r w:rsidRPr="00C405E4">
        <w:rPr>
          <w:rFonts w:eastAsia="Calibri"/>
          <w:i/>
          <w:iCs/>
        </w:rPr>
        <w:t>Louisiana Register</w:t>
      </w:r>
      <w:r w:rsidRPr="00C405E4">
        <w:rPr>
          <w:rFonts w:eastAsia="Calibri"/>
        </w:rPr>
        <w:t xml:space="preserve">. This Emergency Rule is being promulgated to continue those provisions. The public welfare dictates that these changes be implemented immediately through the adoption of the Emergency Rule to promote greater access to safer environments and to ensure safety to existing facilities </w:t>
      </w:r>
      <w:bookmarkEnd w:id="2"/>
      <w:bookmarkEnd w:id="3"/>
      <w:bookmarkEnd w:id="4"/>
      <w:bookmarkEnd w:id="5"/>
      <w:bookmarkEnd w:id="6"/>
      <w:bookmarkEnd w:id="7"/>
      <w:r w:rsidRPr="00C405E4">
        <w:rPr>
          <w:rFonts w:eastAsia="Calibri"/>
        </w:rPr>
        <w:t>and their occupants.</w:t>
      </w:r>
      <w:r w:rsidRPr="00C405E4">
        <w:t xml:space="preserve"> By the signature of the agency head, Brad Hassert, </w:t>
      </w:r>
      <w:r w:rsidRPr="00C405E4">
        <w:rPr>
          <w:rFonts w:eastAsia="Calibri"/>
        </w:rPr>
        <w:t>this Emergency Rule shall have the force and effect of law on November 4, 2025, and will remain in effect 180 days, unless renewed by the agency head of the council, or until permanent rules are promulgated in accordance with law.</w:t>
      </w:r>
    </w:p>
    <w:p w14:paraId="5CDA4042" w14:textId="77777777" w:rsidR="00C405E4" w:rsidRPr="00C405E4" w:rsidRDefault="00C405E4" w:rsidP="00114168">
      <w:pPr>
        <w:pStyle w:val="RegCodeTitle"/>
      </w:pPr>
      <w:r w:rsidRPr="00C405E4">
        <w:t>T</w:t>
      </w:r>
      <w:r w:rsidRPr="00C405E4">
        <w:rPr>
          <w:spacing w:val="-1"/>
        </w:rPr>
        <w:t>i</w:t>
      </w:r>
      <w:r w:rsidRPr="00C405E4">
        <w:t>t</w:t>
      </w:r>
      <w:r w:rsidRPr="00C405E4">
        <w:rPr>
          <w:spacing w:val="-1"/>
        </w:rPr>
        <w:t>l</w:t>
      </w:r>
      <w:r w:rsidRPr="00C405E4">
        <w:t xml:space="preserve">e </w:t>
      </w:r>
      <w:r w:rsidRPr="00C405E4">
        <w:rPr>
          <w:spacing w:val="1"/>
        </w:rPr>
        <w:t>1</w:t>
      </w:r>
      <w:r w:rsidRPr="00C405E4">
        <w:t>7</w:t>
      </w:r>
    </w:p>
    <w:p w14:paraId="3BE0004A" w14:textId="77777777" w:rsidR="00C405E4" w:rsidRPr="00C405E4" w:rsidRDefault="00C405E4" w:rsidP="00114168">
      <w:pPr>
        <w:pStyle w:val="RegCodeTitle"/>
      </w:pPr>
      <w:r w:rsidRPr="00C405E4">
        <w:rPr>
          <w:spacing w:val="1"/>
        </w:rPr>
        <w:t>C</w:t>
      </w:r>
      <w:r w:rsidRPr="00C405E4">
        <w:rPr>
          <w:spacing w:val="-1"/>
        </w:rPr>
        <w:t>O</w:t>
      </w:r>
      <w:r w:rsidRPr="00C405E4">
        <w:rPr>
          <w:spacing w:val="1"/>
        </w:rPr>
        <w:t>N</w:t>
      </w:r>
      <w:r w:rsidRPr="00C405E4">
        <w:t>ST</w:t>
      </w:r>
      <w:r w:rsidRPr="00C405E4">
        <w:rPr>
          <w:spacing w:val="-1"/>
        </w:rPr>
        <w:t>RUC</w:t>
      </w:r>
      <w:r w:rsidRPr="00C405E4">
        <w:t>TION</w:t>
      </w:r>
    </w:p>
    <w:p w14:paraId="1B77F3CC" w14:textId="77777777" w:rsidR="00114168" w:rsidRDefault="00C405E4" w:rsidP="00114168">
      <w:pPr>
        <w:pStyle w:val="RegCodePart"/>
      </w:pPr>
      <w:r w:rsidRPr="00C405E4">
        <w:t>P</w:t>
      </w:r>
      <w:r w:rsidRPr="00C405E4">
        <w:rPr>
          <w:spacing w:val="1"/>
        </w:rPr>
        <w:t>a</w:t>
      </w:r>
      <w:r w:rsidRPr="00C405E4">
        <w:t>rt</w:t>
      </w:r>
      <w:r w:rsidRPr="00C405E4">
        <w:rPr>
          <w:spacing w:val="-1"/>
        </w:rPr>
        <w:t xml:space="preserve"> </w:t>
      </w:r>
      <w:r w:rsidRPr="00C405E4">
        <w:t>I.</w:t>
      </w:r>
      <w:r w:rsidR="00114168">
        <w:t xml:space="preserve">  </w:t>
      </w:r>
      <w:r w:rsidRPr="00C405E4">
        <w:t>Un</w:t>
      </w:r>
      <w:r w:rsidRPr="00C405E4">
        <w:rPr>
          <w:spacing w:val="-1"/>
        </w:rPr>
        <w:t>if</w:t>
      </w:r>
      <w:r w:rsidRPr="00C405E4">
        <w:rPr>
          <w:spacing w:val="1"/>
        </w:rPr>
        <w:t>o</w:t>
      </w:r>
      <w:r w:rsidRPr="00C405E4">
        <w:rPr>
          <w:spacing w:val="-1"/>
        </w:rPr>
        <w:t>r</w:t>
      </w:r>
      <w:r w:rsidRPr="00C405E4">
        <w:t xml:space="preserve">m </w:t>
      </w:r>
      <w:r w:rsidRPr="00C405E4">
        <w:rPr>
          <w:spacing w:val="-1"/>
        </w:rPr>
        <w:t>C</w:t>
      </w:r>
      <w:r w:rsidRPr="00C405E4">
        <w:rPr>
          <w:spacing w:val="1"/>
        </w:rPr>
        <w:t>o</w:t>
      </w:r>
      <w:r w:rsidRPr="00C405E4">
        <w:t>n</w:t>
      </w:r>
      <w:r w:rsidRPr="00C405E4">
        <w:rPr>
          <w:spacing w:val="-1"/>
        </w:rPr>
        <w:t>s</w:t>
      </w:r>
      <w:r w:rsidRPr="00C405E4">
        <w:t>tru</w:t>
      </w:r>
      <w:r w:rsidRPr="00C405E4">
        <w:rPr>
          <w:spacing w:val="-1"/>
        </w:rPr>
        <w:t>c</w:t>
      </w:r>
      <w:r w:rsidRPr="00C405E4">
        <w:t>t</w:t>
      </w:r>
      <w:r w:rsidRPr="00C405E4">
        <w:rPr>
          <w:spacing w:val="-1"/>
        </w:rPr>
        <w:t>io</w:t>
      </w:r>
      <w:r w:rsidRPr="00C405E4">
        <w:t>n</w:t>
      </w:r>
      <w:r w:rsidRPr="00C405E4">
        <w:rPr>
          <w:spacing w:val="1"/>
        </w:rPr>
        <w:t xml:space="preserve"> </w:t>
      </w:r>
      <w:r w:rsidRPr="00C405E4">
        <w:rPr>
          <w:spacing w:val="-1"/>
        </w:rPr>
        <w:t>C</w:t>
      </w:r>
      <w:r w:rsidRPr="00C405E4">
        <w:rPr>
          <w:spacing w:val="1"/>
        </w:rPr>
        <w:t>o</w:t>
      </w:r>
      <w:r w:rsidRPr="00C405E4">
        <w:t>de</w:t>
      </w:r>
    </w:p>
    <w:p w14:paraId="63D09593" w14:textId="77777777" w:rsidR="00C405E4" w:rsidRPr="00C405E4" w:rsidRDefault="00C405E4" w:rsidP="00114168">
      <w:pPr>
        <w:pStyle w:val="Chapter"/>
      </w:pPr>
      <w:r w:rsidRPr="00C405E4">
        <w:rPr>
          <w:spacing w:val="1"/>
        </w:rPr>
        <w:t>C</w:t>
      </w:r>
      <w:r w:rsidRPr="00C405E4">
        <w:rPr>
          <w:spacing w:val="-1"/>
        </w:rPr>
        <w:t>h</w:t>
      </w:r>
      <w:r w:rsidRPr="00C405E4">
        <w:rPr>
          <w:spacing w:val="1"/>
        </w:rPr>
        <w:t>a</w:t>
      </w:r>
      <w:r w:rsidRPr="00C405E4">
        <w:t>pt</w:t>
      </w:r>
      <w:r w:rsidRPr="00C405E4">
        <w:rPr>
          <w:spacing w:val="-1"/>
        </w:rPr>
        <w:t>e</w:t>
      </w:r>
      <w:r w:rsidRPr="00C405E4">
        <w:t>r</w:t>
      </w:r>
      <w:r w:rsidRPr="00C405E4">
        <w:rPr>
          <w:spacing w:val="-5"/>
        </w:rPr>
        <w:t xml:space="preserve"> </w:t>
      </w:r>
      <w:r w:rsidRPr="00C405E4">
        <w:rPr>
          <w:spacing w:val="1"/>
        </w:rPr>
        <w:t>1</w:t>
      </w:r>
      <w:r w:rsidRPr="00C405E4">
        <w:t>.</w:t>
      </w:r>
      <w:r w:rsidR="00114168">
        <w:tab/>
      </w:r>
      <w:r w:rsidRPr="00C405E4">
        <w:t xml:space="preserve">Adoption of the Louisiana State Uniform Construction Code </w:t>
      </w:r>
    </w:p>
    <w:p w14:paraId="540718A5" w14:textId="77777777" w:rsidR="00114168" w:rsidRPr="00114168" w:rsidRDefault="00C405E4" w:rsidP="00C405E4">
      <w:pPr>
        <w:ind w:left="1080"/>
        <w:rPr>
          <w:b/>
        </w:rPr>
      </w:pPr>
      <w:r w:rsidRPr="00114168">
        <w:rPr>
          <w:b/>
        </w:rPr>
        <w:t>(Formerly LAC 55:</w:t>
      </w:r>
      <w:proofErr w:type="gramStart"/>
      <w:r w:rsidRPr="00114168">
        <w:rPr>
          <w:b/>
        </w:rPr>
        <w:t>VI.Chapter</w:t>
      </w:r>
      <w:proofErr w:type="gramEnd"/>
      <w:r w:rsidRPr="00114168">
        <w:rPr>
          <w:b/>
        </w:rPr>
        <w:t xml:space="preserve"> 3)</w:t>
      </w:r>
    </w:p>
    <w:p w14:paraId="2F494F87" w14:textId="77777777" w:rsidR="00C405E4" w:rsidRPr="00C405E4" w:rsidRDefault="00C405E4" w:rsidP="00114168">
      <w:pPr>
        <w:pStyle w:val="Section"/>
      </w:pPr>
      <w:r w:rsidRPr="00C405E4">
        <w:t>§105.</w:t>
      </w:r>
      <w:r w:rsidR="00114168">
        <w:tab/>
      </w:r>
      <w:bookmarkStart w:id="13" w:name="_Hlk213228518"/>
      <w:r w:rsidRPr="00C405E4">
        <w:t xml:space="preserve">International Existing Building Code </w:t>
      </w:r>
      <w:bookmarkEnd w:id="13"/>
    </w:p>
    <w:p w14:paraId="2A7CC2DD" w14:textId="77777777" w:rsidR="00C405E4" w:rsidRPr="00114168" w:rsidRDefault="00C405E4" w:rsidP="00C405E4">
      <w:pPr>
        <w:spacing w:after="15"/>
        <w:ind w:left="1080"/>
        <w:rPr>
          <w:b/>
        </w:rPr>
      </w:pPr>
      <w:r w:rsidRPr="00114168">
        <w:rPr>
          <w:b/>
        </w:rPr>
        <w:t>(Formerly LAC 55:VI.</w:t>
      </w:r>
      <w:proofErr w:type="gramStart"/>
      <w:r w:rsidRPr="00114168">
        <w:rPr>
          <w:b/>
        </w:rPr>
        <w:t>301.A.</w:t>
      </w:r>
      <w:proofErr w:type="gramEnd"/>
      <w:r w:rsidRPr="00114168">
        <w:rPr>
          <w:b/>
        </w:rPr>
        <w:t xml:space="preserve">2) </w:t>
      </w:r>
    </w:p>
    <w:p w14:paraId="0F4C6371" w14:textId="77777777" w:rsidR="00C405E4" w:rsidRDefault="00C405E4" w:rsidP="00114168">
      <w:pPr>
        <w:pStyle w:val="A0"/>
      </w:pPr>
      <w:r w:rsidRPr="00C405E4">
        <w:t>A.</w:t>
      </w:r>
      <w:r w:rsidR="00B66C74">
        <w:tab/>
      </w:r>
      <w:r w:rsidRPr="00C405E4">
        <w:rPr>
          <w:i/>
          <w:iCs/>
        </w:rPr>
        <w:t>International Existing Building Code (IEBC)</w:t>
      </w:r>
      <w:r w:rsidRPr="00C405E4">
        <w:t xml:space="preserve">, 2021 Edition, not including Chapter 1, Administration. The applicable </w:t>
      </w:r>
      <w:bookmarkStart w:id="14" w:name="_Hlk213239644"/>
      <w:r w:rsidRPr="00C405E4">
        <w:t>standards referenced in that code are included for regulation of construction within this state</w:t>
      </w:r>
      <w:bookmarkEnd w:id="14"/>
      <w:r w:rsidRPr="00C405E4">
        <w:t>.</w:t>
      </w:r>
      <w:r w:rsidR="00114168">
        <w:t xml:space="preserve"> </w:t>
      </w:r>
    </w:p>
    <w:p w14:paraId="008FA0A6" w14:textId="77777777" w:rsidR="00DB5A0E" w:rsidRPr="00DB5A0E" w:rsidRDefault="00DB5A0E" w:rsidP="00114168">
      <w:pPr>
        <w:pStyle w:val="A0"/>
      </w:pPr>
    </w:p>
    <w:tbl>
      <w:tblPr>
        <w:tblW w:w="0" w:type="auto"/>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ook w:val="04A0" w:firstRow="1" w:lastRow="0" w:firstColumn="1" w:lastColumn="0" w:noHBand="0" w:noVBand="1"/>
      </w:tblPr>
      <w:tblGrid>
        <w:gridCol w:w="763"/>
        <w:gridCol w:w="1114"/>
        <w:gridCol w:w="935"/>
        <w:gridCol w:w="1930"/>
      </w:tblGrid>
      <w:tr w:rsidR="00DB5A0E" w:rsidRPr="00C81791" w14:paraId="74FAFD3F" w14:textId="77777777" w:rsidTr="00DB5A0E">
        <w:tc>
          <w:tcPr>
            <w:tcW w:w="778" w:type="dxa"/>
            <w:vAlign w:val="center"/>
          </w:tcPr>
          <w:p w14:paraId="2112B56E" w14:textId="77777777" w:rsidR="00DB5A0E" w:rsidRPr="00C81791" w:rsidRDefault="00DB5A0E" w:rsidP="00DB5A0E">
            <w:pPr>
              <w:keepNext/>
              <w:jc w:val="center"/>
              <w:rPr>
                <w:rFonts w:eastAsia="Calibri"/>
                <w:color w:val="000000"/>
                <w:sz w:val="16"/>
                <w:szCs w:val="16"/>
              </w:rPr>
            </w:pPr>
            <w:r w:rsidRPr="00C81791">
              <w:rPr>
                <w:rFonts w:eastAsia="Calibri"/>
                <w:color w:val="000000"/>
                <w:sz w:val="16"/>
                <w:szCs w:val="16"/>
              </w:rPr>
              <w:t>Repeal</w:t>
            </w:r>
          </w:p>
        </w:tc>
        <w:tc>
          <w:tcPr>
            <w:tcW w:w="1152" w:type="dxa"/>
            <w:vAlign w:val="center"/>
          </w:tcPr>
          <w:p w14:paraId="65C70E7B" w14:textId="77777777" w:rsidR="00DB5A0E" w:rsidRPr="00C81791" w:rsidRDefault="00DB5A0E" w:rsidP="00DB5A0E">
            <w:pPr>
              <w:keepNext/>
              <w:rPr>
                <w:rFonts w:eastAsia="Calibri"/>
                <w:color w:val="000000"/>
                <w:sz w:val="16"/>
                <w:szCs w:val="16"/>
              </w:rPr>
            </w:pPr>
          </w:p>
        </w:tc>
        <w:tc>
          <w:tcPr>
            <w:tcW w:w="950" w:type="dxa"/>
            <w:vAlign w:val="center"/>
          </w:tcPr>
          <w:p w14:paraId="20838201" w14:textId="77777777" w:rsidR="00DB5A0E" w:rsidRPr="00C81791" w:rsidRDefault="00DB5A0E" w:rsidP="00DB5A0E">
            <w:pPr>
              <w:keepNext/>
              <w:rPr>
                <w:rFonts w:eastAsia="Calibri"/>
                <w:color w:val="000000"/>
                <w:sz w:val="16"/>
                <w:szCs w:val="16"/>
              </w:rPr>
            </w:pPr>
          </w:p>
        </w:tc>
        <w:tc>
          <w:tcPr>
            <w:tcW w:w="2124" w:type="dxa"/>
            <w:vAlign w:val="center"/>
          </w:tcPr>
          <w:p w14:paraId="701F1F27" w14:textId="77777777" w:rsidR="00DB5A0E" w:rsidRPr="00C81791" w:rsidRDefault="00DB5A0E" w:rsidP="00DB5A0E">
            <w:pPr>
              <w:keepNext/>
              <w:rPr>
                <w:rFonts w:eastAsia="Calibri"/>
                <w:color w:val="000000"/>
                <w:sz w:val="16"/>
                <w:szCs w:val="16"/>
              </w:rPr>
            </w:pPr>
            <w:r w:rsidRPr="00C81791">
              <w:rPr>
                <w:rFonts w:eastAsia="Calibri"/>
                <w:color w:val="000000"/>
                <w:sz w:val="16"/>
                <w:szCs w:val="16"/>
              </w:rPr>
              <w:t>Section 502.6, Enhanced Classroom Acoustics</w:t>
            </w:r>
          </w:p>
        </w:tc>
      </w:tr>
      <w:tr w:rsidR="00DB5A0E" w:rsidRPr="00C81791" w14:paraId="24D82723" w14:textId="77777777" w:rsidTr="00DB5A0E">
        <w:tc>
          <w:tcPr>
            <w:tcW w:w="778" w:type="dxa"/>
            <w:vAlign w:val="center"/>
          </w:tcPr>
          <w:p w14:paraId="5BD2513F" w14:textId="77777777" w:rsidR="00DB5A0E" w:rsidRPr="00C81791" w:rsidRDefault="00DB5A0E" w:rsidP="00DB5A0E">
            <w:pPr>
              <w:keepNext/>
              <w:jc w:val="center"/>
              <w:rPr>
                <w:rFonts w:eastAsia="Calibri"/>
                <w:color w:val="000000"/>
                <w:sz w:val="16"/>
                <w:szCs w:val="16"/>
              </w:rPr>
            </w:pPr>
            <w:r w:rsidRPr="00C81791">
              <w:rPr>
                <w:rFonts w:eastAsia="Calibri"/>
                <w:color w:val="000000"/>
                <w:sz w:val="16"/>
                <w:szCs w:val="16"/>
              </w:rPr>
              <w:t>Repeal</w:t>
            </w:r>
          </w:p>
        </w:tc>
        <w:tc>
          <w:tcPr>
            <w:tcW w:w="1152" w:type="dxa"/>
            <w:vAlign w:val="center"/>
          </w:tcPr>
          <w:p w14:paraId="2E83C55D" w14:textId="77777777" w:rsidR="00DB5A0E" w:rsidRPr="00C81791" w:rsidRDefault="00DB5A0E" w:rsidP="00DB5A0E">
            <w:pPr>
              <w:keepNext/>
              <w:rPr>
                <w:rFonts w:eastAsia="Calibri"/>
                <w:color w:val="000000"/>
                <w:sz w:val="16"/>
                <w:szCs w:val="16"/>
              </w:rPr>
            </w:pPr>
          </w:p>
        </w:tc>
        <w:tc>
          <w:tcPr>
            <w:tcW w:w="950" w:type="dxa"/>
            <w:vAlign w:val="center"/>
          </w:tcPr>
          <w:p w14:paraId="103754B5" w14:textId="77777777" w:rsidR="00DB5A0E" w:rsidRPr="00C81791" w:rsidRDefault="00DB5A0E" w:rsidP="00DB5A0E">
            <w:pPr>
              <w:keepNext/>
              <w:rPr>
                <w:rFonts w:eastAsia="Calibri"/>
                <w:color w:val="000000"/>
                <w:sz w:val="16"/>
                <w:szCs w:val="16"/>
              </w:rPr>
            </w:pPr>
          </w:p>
        </w:tc>
        <w:tc>
          <w:tcPr>
            <w:tcW w:w="2124" w:type="dxa"/>
            <w:vAlign w:val="center"/>
          </w:tcPr>
          <w:p w14:paraId="35B96804" w14:textId="77777777" w:rsidR="00DB5A0E" w:rsidRPr="00C81791" w:rsidRDefault="00DB5A0E" w:rsidP="00DB5A0E">
            <w:pPr>
              <w:keepNext/>
              <w:rPr>
                <w:rFonts w:eastAsia="Calibri"/>
                <w:color w:val="000000"/>
                <w:sz w:val="16"/>
                <w:szCs w:val="16"/>
              </w:rPr>
            </w:pPr>
            <w:r w:rsidRPr="00C81791">
              <w:rPr>
                <w:rFonts w:eastAsia="Calibri"/>
                <w:color w:val="000000"/>
                <w:sz w:val="16"/>
                <w:szCs w:val="16"/>
              </w:rPr>
              <w:t>Section 503.16, Enhanced Classroom Acoustics</w:t>
            </w:r>
          </w:p>
        </w:tc>
      </w:tr>
      <w:tr w:rsidR="00DB5A0E" w:rsidRPr="00C81791" w14:paraId="099B9F9C" w14:textId="77777777" w:rsidTr="00DB5A0E">
        <w:tc>
          <w:tcPr>
            <w:tcW w:w="778" w:type="dxa"/>
            <w:vAlign w:val="center"/>
          </w:tcPr>
          <w:p w14:paraId="136240B6" w14:textId="77777777" w:rsidR="00DB5A0E" w:rsidRPr="00C81791" w:rsidRDefault="00DB5A0E" w:rsidP="00DB5A0E">
            <w:pPr>
              <w:keepNext/>
              <w:jc w:val="center"/>
              <w:rPr>
                <w:rFonts w:eastAsia="Calibri"/>
                <w:color w:val="000000"/>
                <w:sz w:val="16"/>
                <w:szCs w:val="16"/>
              </w:rPr>
            </w:pPr>
            <w:r w:rsidRPr="00C81791">
              <w:rPr>
                <w:rFonts w:eastAsia="Calibri"/>
                <w:color w:val="000000"/>
                <w:sz w:val="16"/>
                <w:szCs w:val="16"/>
              </w:rPr>
              <w:t>Repeal</w:t>
            </w:r>
          </w:p>
        </w:tc>
        <w:tc>
          <w:tcPr>
            <w:tcW w:w="1152" w:type="dxa"/>
            <w:vAlign w:val="center"/>
          </w:tcPr>
          <w:p w14:paraId="3B59352C" w14:textId="77777777" w:rsidR="00DB5A0E" w:rsidRPr="00C81791" w:rsidRDefault="00DB5A0E" w:rsidP="00DB5A0E">
            <w:pPr>
              <w:keepNext/>
              <w:rPr>
                <w:rFonts w:eastAsia="Calibri"/>
                <w:color w:val="000000"/>
                <w:sz w:val="16"/>
                <w:szCs w:val="16"/>
              </w:rPr>
            </w:pPr>
          </w:p>
        </w:tc>
        <w:tc>
          <w:tcPr>
            <w:tcW w:w="950" w:type="dxa"/>
            <w:vAlign w:val="center"/>
          </w:tcPr>
          <w:p w14:paraId="6859B585" w14:textId="77777777" w:rsidR="00DB5A0E" w:rsidRPr="00C81791" w:rsidRDefault="00DB5A0E" w:rsidP="00DB5A0E">
            <w:pPr>
              <w:keepNext/>
              <w:rPr>
                <w:rFonts w:eastAsia="Calibri"/>
                <w:color w:val="000000"/>
                <w:sz w:val="16"/>
                <w:szCs w:val="16"/>
              </w:rPr>
            </w:pPr>
          </w:p>
        </w:tc>
        <w:tc>
          <w:tcPr>
            <w:tcW w:w="2124" w:type="dxa"/>
            <w:vAlign w:val="center"/>
          </w:tcPr>
          <w:p w14:paraId="549595AB" w14:textId="77777777" w:rsidR="00DB5A0E" w:rsidRPr="00C81791" w:rsidRDefault="00DB5A0E" w:rsidP="00DB5A0E">
            <w:pPr>
              <w:keepNext/>
              <w:rPr>
                <w:rFonts w:eastAsia="Calibri"/>
                <w:color w:val="000000"/>
                <w:sz w:val="16"/>
                <w:szCs w:val="16"/>
              </w:rPr>
            </w:pPr>
            <w:r w:rsidRPr="00C81791">
              <w:rPr>
                <w:rFonts w:eastAsia="Calibri"/>
                <w:color w:val="000000"/>
                <w:sz w:val="16"/>
                <w:szCs w:val="16"/>
              </w:rPr>
              <w:t>Section 506.6, Enhanced Classroom Acoustics</w:t>
            </w:r>
          </w:p>
        </w:tc>
      </w:tr>
      <w:tr w:rsidR="00DB5A0E" w:rsidRPr="00C81791" w14:paraId="5A2F46F2" w14:textId="77777777" w:rsidTr="00DB5A0E">
        <w:tc>
          <w:tcPr>
            <w:tcW w:w="778" w:type="dxa"/>
            <w:vAlign w:val="center"/>
          </w:tcPr>
          <w:p w14:paraId="3246D906" w14:textId="77777777" w:rsidR="00DB5A0E" w:rsidRPr="00346C67" w:rsidRDefault="00DB5A0E" w:rsidP="00DB5A0E">
            <w:pPr>
              <w:keepNext/>
              <w:jc w:val="center"/>
              <w:rPr>
                <w:rFonts w:eastAsia="Calibri"/>
                <w:color w:val="000000"/>
                <w:sz w:val="16"/>
                <w:szCs w:val="16"/>
              </w:rPr>
            </w:pPr>
            <w:r w:rsidRPr="00346C67">
              <w:rPr>
                <w:rFonts w:eastAsia="Calibri"/>
                <w:color w:val="000000"/>
                <w:sz w:val="16"/>
                <w:szCs w:val="16"/>
              </w:rPr>
              <w:t>Repeal</w:t>
            </w:r>
          </w:p>
        </w:tc>
        <w:tc>
          <w:tcPr>
            <w:tcW w:w="1152" w:type="dxa"/>
            <w:vAlign w:val="center"/>
          </w:tcPr>
          <w:p w14:paraId="63007B3E" w14:textId="77777777" w:rsidR="00DB5A0E" w:rsidRPr="00346C67" w:rsidRDefault="00DB5A0E" w:rsidP="00DB5A0E">
            <w:pPr>
              <w:keepNext/>
              <w:rPr>
                <w:rFonts w:eastAsia="Calibri"/>
                <w:color w:val="000000"/>
                <w:sz w:val="16"/>
                <w:szCs w:val="16"/>
              </w:rPr>
            </w:pPr>
          </w:p>
        </w:tc>
        <w:tc>
          <w:tcPr>
            <w:tcW w:w="950" w:type="dxa"/>
            <w:vAlign w:val="center"/>
          </w:tcPr>
          <w:p w14:paraId="2484DEFA" w14:textId="77777777" w:rsidR="00DB5A0E" w:rsidRPr="00346C67" w:rsidRDefault="00DB5A0E" w:rsidP="00DB5A0E">
            <w:pPr>
              <w:keepNext/>
              <w:rPr>
                <w:rFonts w:eastAsia="Calibri"/>
                <w:color w:val="000000"/>
                <w:sz w:val="16"/>
                <w:szCs w:val="16"/>
              </w:rPr>
            </w:pPr>
          </w:p>
        </w:tc>
        <w:tc>
          <w:tcPr>
            <w:tcW w:w="2124" w:type="dxa"/>
            <w:vAlign w:val="center"/>
          </w:tcPr>
          <w:p w14:paraId="186AF46A" w14:textId="77777777" w:rsidR="00DB5A0E" w:rsidRPr="00346C67" w:rsidRDefault="00DB5A0E" w:rsidP="00DB5A0E">
            <w:pPr>
              <w:keepNext/>
              <w:rPr>
                <w:rFonts w:eastAsia="Calibri"/>
                <w:color w:val="000000"/>
                <w:sz w:val="16"/>
                <w:szCs w:val="16"/>
              </w:rPr>
            </w:pPr>
            <w:r w:rsidRPr="00346C67">
              <w:rPr>
                <w:rFonts w:eastAsia="Calibri"/>
                <w:color w:val="000000"/>
                <w:sz w:val="16"/>
                <w:szCs w:val="16"/>
              </w:rPr>
              <w:t>Section 903.4 Enhanced Classroom Acoustics</w:t>
            </w:r>
          </w:p>
        </w:tc>
      </w:tr>
      <w:tr w:rsidR="00DB5A0E" w:rsidRPr="00C81791" w14:paraId="5C0CEA1D" w14:textId="77777777" w:rsidTr="00DB5A0E">
        <w:tc>
          <w:tcPr>
            <w:tcW w:w="778" w:type="dxa"/>
            <w:vAlign w:val="center"/>
          </w:tcPr>
          <w:p w14:paraId="62C193D8" w14:textId="77777777" w:rsidR="00DB5A0E" w:rsidRPr="00346C67" w:rsidRDefault="00DB5A0E" w:rsidP="00DB5A0E">
            <w:pPr>
              <w:keepNext/>
              <w:jc w:val="center"/>
              <w:rPr>
                <w:rFonts w:eastAsia="Calibri"/>
                <w:color w:val="000000"/>
                <w:sz w:val="16"/>
                <w:szCs w:val="16"/>
              </w:rPr>
            </w:pPr>
            <w:r w:rsidRPr="00346C67">
              <w:rPr>
                <w:rFonts w:eastAsia="Calibri"/>
                <w:color w:val="000000"/>
                <w:sz w:val="16"/>
                <w:szCs w:val="16"/>
              </w:rPr>
              <w:t>Repeal</w:t>
            </w:r>
          </w:p>
        </w:tc>
        <w:tc>
          <w:tcPr>
            <w:tcW w:w="1152" w:type="dxa"/>
            <w:vAlign w:val="center"/>
          </w:tcPr>
          <w:p w14:paraId="3751AED2" w14:textId="77777777" w:rsidR="00DB5A0E" w:rsidRPr="00346C67" w:rsidRDefault="00DB5A0E" w:rsidP="00DB5A0E">
            <w:pPr>
              <w:keepNext/>
              <w:rPr>
                <w:rFonts w:eastAsia="Calibri"/>
                <w:color w:val="000000"/>
                <w:sz w:val="16"/>
                <w:szCs w:val="16"/>
              </w:rPr>
            </w:pPr>
          </w:p>
        </w:tc>
        <w:tc>
          <w:tcPr>
            <w:tcW w:w="950" w:type="dxa"/>
            <w:vAlign w:val="center"/>
          </w:tcPr>
          <w:p w14:paraId="53AC709A" w14:textId="77777777" w:rsidR="00DB5A0E" w:rsidRPr="00346C67" w:rsidRDefault="00DB5A0E" w:rsidP="00DB5A0E">
            <w:pPr>
              <w:keepNext/>
              <w:rPr>
                <w:rFonts w:eastAsia="Calibri"/>
                <w:color w:val="000000"/>
                <w:sz w:val="16"/>
                <w:szCs w:val="16"/>
              </w:rPr>
            </w:pPr>
          </w:p>
        </w:tc>
        <w:tc>
          <w:tcPr>
            <w:tcW w:w="2124" w:type="dxa"/>
            <w:vAlign w:val="center"/>
          </w:tcPr>
          <w:p w14:paraId="19689445" w14:textId="77777777" w:rsidR="00DB5A0E" w:rsidRPr="00346C67" w:rsidRDefault="00DB5A0E" w:rsidP="00DB5A0E">
            <w:pPr>
              <w:keepNext/>
              <w:rPr>
                <w:rFonts w:eastAsia="Calibri"/>
                <w:color w:val="000000"/>
                <w:sz w:val="16"/>
                <w:szCs w:val="16"/>
              </w:rPr>
            </w:pPr>
            <w:r w:rsidRPr="00346C67">
              <w:rPr>
                <w:rFonts w:eastAsia="Calibri"/>
                <w:color w:val="000000"/>
                <w:sz w:val="16"/>
                <w:szCs w:val="16"/>
              </w:rPr>
              <w:t>Section 1011.4 Enhanced Classroom Acoustics</w:t>
            </w:r>
          </w:p>
        </w:tc>
      </w:tr>
      <w:tr w:rsidR="00DB5A0E" w:rsidRPr="00C81791" w14:paraId="2BA5D727" w14:textId="77777777" w:rsidTr="00DB5A0E">
        <w:tc>
          <w:tcPr>
            <w:tcW w:w="778" w:type="dxa"/>
            <w:vAlign w:val="center"/>
          </w:tcPr>
          <w:p w14:paraId="767E4C93" w14:textId="77777777" w:rsidR="00DB5A0E" w:rsidRPr="00346C67" w:rsidRDefault="00DB5A0E" w:rsidP="00DB5A0E">
            <w:pPr>
              <w:keepNext/>
              <w:jc w:val="center"/>
              <w:rPr>
                <w:rFonts w:eastAsia="Calibri"/>
                <w:color w:val="000000"/>
                <w:sz w:val="16"/>
                <w:szCs w:val="16"/>
              </w:rPr>
            </w:pPr>
            <w:r w:rsidRPr="00346C67">
              <w:rPr>
                <w:rFonts w:eastAsia="Calibri"/>
                <w:color w:val="000000"/>
                <w:sz w:val="16"/>
                <w:szCs w:val="16"/>
              </w:rPr>
              <w:t>Repeal</w:t>
            </w:r>
          </w:p>
        </w:tc>
        <w:tc>
          <w:tcPr>
            <w:tcW w:w="1152" w:type="dxa"/>
            <w:vAlign w:val="center"/>
          </w:tcPr>
          <w:p w14:paraId="664C8EC6" w14:textId="77777777" w:rsidR="00DB5A0E" w:rsidRPr="00346C67" w:rsidRDefault="00DB5A0E" w:rsidP="00DB5A0E">
            <w:pPr>
              <w:keepNext/>
              <w:rPr>
                <w:rFonts w:eastAsia="Calibri"/>
                <w:color w:val="000000"/>
                <w:sz w:val="16"/>
                <w:szCs w:val="16"/>
              </w:rPr>
            </w:pPr>
          </w:p>
        </w:tc>
        <w:tc>
          <w:tcPr>
            <w:tcW w:w="950" w:type="dxa"/>
            <w:vAlign w:val="center"/>
          </w:tcPr>
          <w:p w14:paraId="220E2703" w14:textId="77777777" w:rsidR="00DB5A0E" w:rsidRPr="00346C67" w:rsidRDefault="00DB5A0E" w:rsidP="00DB5A0E">
            <w:pPr>
              <w:keepNext/>
              <w:rPr>
                <w:rFonts w:eastAsia="Calibri"/>
                <w:color w:val="000000"/>
                <w:sz w:val="16"/>
                <w:szCs w:val="16"/>
              </w:rPr>
            </w:pPr>
          </w:p>
        </w:tc>
        <w:tc>
          <w:tcPr>
            <w:tcW w:w="2124" w:type="dxa"/>
            <w:vAlign w:val="center"/>
          </w:tcPr>
          <w:p w14:paraId="13FB52D8" w14:textId="77777777" w:rsidR="00DB5A0E" w:rsidRPr="00346C67" w:rsidRDefault="00DB5A0E" w:rsidP="00DB5A0E">
            <w:pPr>
              <w:keepNext/>
              <w:rPr>
                <w:rFonts w:eastAsia="Calibri"/>
                <w:color w:val="000000"/>
                <w:sz w:val="16"/>
                <w:szCs w:val="16"/>
              </w:rPr>
            </w:pPr>
            <w:r w:rsidRPr="00346C67">
              <w:rPr>
                <w:rFonts w:eastAsia="Calibri"/>
                <w:color w:val="000000"/>
                <w:sz w:val="16"/>
                <w:szCs w:val="16"/>
              </w:rPr>
              <w:t>Section 1101.4 Enhanced Classroom Acoustics</w:t>
            </w:r>
          </w:p>
        </w:tc>
      </w:tr>
      <w:tr w:rsidR="00DB5A0E" w:rsidRPr="00C81791" w14:paraId="6A599207" w14:textId="77777777" w:rsidTr="00DB5A0E">
        <w:tc>
          <w:tcPr>
            <w:tcW w:w="778" w:type="dxa"/>
            <w:vAlign w:val="center"/>
          </w:tcPr>
          <w:p w14:paraId="143BACDE" w14:textId="77777777" w:rsidR="00DB5A0E" w:rsidRPr="00346C67" w:rsidRDefault="00DB5A0E" w:rsidP="00DB5A0E">
            <w:pPr>
              <w:keepNext/>
              <w:jc w:val="center"/>
              <w:rPr>
                <w:rFonts w:eastAsia="Calibri"/>
                <w:color w:val="000000"/>
                <w:sz w:val="16"/>
                <w:szCs w:val="16"/>
              </w:rPr>
            </w:pPr>
            <w:r>
              <w:rPr>
                <w:rFonts w:eastAsia="Calibri"/>
                <w:color w:val="000000"/>
                <w:sz w:val="16"/>
                <w:szCs w:val="16"/>
              </w:rPr>
              <w:t>Amend</w:t>
            </w:r>
          </w:p>
        </w:tc>
        <w:tc>
          <w:tcPr>
            <w:tcW w:w="1152" w:type="dxa"/>
            <w:vAlign w:val="center"/>
          </w:tcPr>
          <w:p w14:paraId="50636EE1" w14:textId="77777777" w:rsidR="00DB5A0E" w:rsidRDefault="00DB5A0E" w:rsidP="00DB5A0E">
            <w:pPr>
              <w:keepNext/>
              <w:rPr>
                <w:rFonts w:eastAsia="Calibri"/>
                <w:color w:val="000000"/>
                <w:sz w:val="16"/>
                <w:szCs w:val="16"/>
              </w:rPr>
            </w:pPr>
            <w:r w:rsidRPr="00DB5A0E">
              <w:rPr>
                <w:rFonts w:eastAsia="Calibri"/>
                <w:color w:val="000000"/>
                <w:sz w:val="16"/>
                <w:szCs w:val="16"/>
              </w:rPr>
              <w:t>Chapter 2 Definitions</w:t>
            </w:r>
          </w:p>
        </w:tc>
        <w:tc>
          <w:tcPr>
            <w:tcW w:w="950" w:type="dxa"/>
            <w:vAlign w:val="center"/>
          </w:tcPr>
          <w:p w14:paraId="11A18A5A" w14:textId="77777777" w:rsidR="00DB5A0E" w:rsidRDefault="00DB5A0E" w:rsidP="00DB5A0E">
            <w:pPr>
              <w:keepNext/>
              <w:rPr>
                <w:rFonts w:eastAsia="Calibri"/>
                <w:color w:val="000000"/>
                <w:sz w:val="16"/>
                <w:szCs w:val="16"/>
              </w:rPr>
            </w:pPr>
          </w:p>
        </w:tc>
        <w:tc>
          <w:tcPr>
            <w:tcW w:w="2124" w:type="dxa"/>
            <w:vAlign w:val="center"/>
          </w:tcPr>
          <w:p w14:paraId="7D4565A6" w14:textId="77777777" w:rsidR="00DB5A0E" w:rsidRPr="00346C67" w:rsidRDefault="00DB5A0E" w:rsidP="00DB5A0E">
            <w:pPr>
              <w:keepNext/>
              <w:rPr>
                <w:rFonts w:eastAsia="Calibri"/>
                <w:color w:val="000000"/>
                <w:sz w:val="16"/>
                <w:szCs w:val="16"/>
              </w:rPr>
            </w:pPr>
          </w:p>
        </w:tc>
      </w:tr>
      <w:tr w:rsidR="00DB5A0E" w:rsidRPr="00C81791" w14:paraId="098CA571" w14:textId="77777777" w:rsidTr="00DB5A0E">
        <w:tc>
          <w:tcPr>
            <w:tcW w:w="778" w:type="dxa"/>
            <w:vAlign w:val="center"/>
          </w:tcPr>
          <w:p w14:paraId="09441926" w14:textId="77777777" w:rsidR="00DB5A0E" w:rsidRDefault="00DB5A0E" w:rsidP="00DB5A0E">
            <w:pPr>
              <w:keepNext/>
              <w:jc w:val="center"/>
              <w:rPr>
                <w:rFonts w:eastAsia="Calibri"/>
                <w:color w:val="000000"/>
                <w:sz w:val="16"/>
                <w:szCs w:val="16"/>
              </w:rPr>
            </w:pPr>
            <w:r w:rsidRPr="00DB5A0E">
              <w:rPr>
                <w:rFonts w:eastAsia="Calibri"/>
                <w:color w:val="000000"/>
                <w:sz w:val="16"/>
                <w:szCs w:val="16"/>
              </w:rPr>
              <w:t>Adopt</w:t>
            </w:r>
          </w:p>
        </w:tc>
        <w:tc>
          <w:tcPr>
            <w:tcW w:w="1152" w:type="dxa"/>
            <w:vAlign w:val="center"/>
          </w:tcPr>
          <w:p w14:paraId="14856AEC" w14:textId="77777777" w:rsidR="00DB5A0E" w:rsidRDefault="00DB5A0E" w:rsidP="00DB5A0E">
            <w:pPr>
              <w:keepNext/>
              <w:rPr>
                <w:rFonts w:eastAsia="Calibri"/>
                <w:color w:val="000000"/>
                <w:sz w:val="16"/>
                <w:szCs w:val="16"/>
              </w:rPr>
            </w:pPr>
            <w:r w:rsidRPr="00DB5A0E">
              <w:rPr>
                <w:rFonts w:eastAsia="Calibri"/>
                <w:color w:val="000000"/>
                <w:sz w:val="16"/>
                <w:szCs w:val="16"/>
              </w:rPr>
              <w:t>Section 201.5 General</w:t>
            </w:r>
          </w:p>
        </w:tc>
        <w:tc>
          <w:tcPr>
            <w:tcW w:w="950" w:type="dxa"/>
            <w:vAlign w:val="center"/>
          </w:tcPr>
          <w:p w14:paraId="5D63A857" w14:textId="77777777" w:rsidR="00DB5A0E" w:rsidRPr="00DB5A0E" w:rsidRDefault="00DB5A0E" w:rsidP="00DB5A0E">
            <w:pPr>
              <w:keepNext/>
              <w:rPr>
                <w:rFonts w:eastAsia="Calibri"/>
                <w:color w:val="000000"/>
                <w:sz w:val="16"/>
                <w:szCs w:val="16"/>
              </w:rPr>
            </w:pPr>
            <w:r w:rsidRPr="00DB5A0E">
              <w:rPr>
                <w:rFonts w:eastAsia="Calibri"/>
                <w:color w:val="000000"/>
                <w:sz w:val="16"/>
                <w:szCs w:val="16"/>
              </w:rPr>
              <w:t>201.5 Reference Standards</w:t>
            </w:r>
          </w:p>
        </w:tc>
        <w:tc>
          <w:tcPr>
            <w:tcW w:w="2124" w:type="dxa"/>
            <w:vAlign w:val="center"/>
          </w:tcPr>
          <w:p w14:paraId="533DEBD1" w14:textId="77777777" w:rsidR="00DB5A0E" w:rsidRDefault="00DB5A0E" w:rsidP="00DB5A0E">
            <w:pPr>
              <w:keepNext/>
              <w:rPr>
                <w:rFonts w:eastAsia="Calibri"/>
                <w:color w:val="000000"/>
                <w:sz w:val="16"/>
                <w:szCs w:val="16"/>
              </w:rPr>
            </w:pPr>
            <w:bookmarkStart w:id="15" w:name="End"/>
            <w:r w:rsidRPr="00DB5A0E">
              <w:rPr>
                <w:rFonts w:eastAsia="Calibri"/>
                <w:color w:val="000000"/>
                <w:sz w:val="16"/>
                <w:szCs w:val="16"/>
              </w:rPr>
              <w:t>The applicable standards referenced in this code are included for regulation of construction within this state.</w:t>
            </w:r>
            <w:bookmarkEnd w:id="15"/>
          </w:p>
        </w:tc>
      </w:tr>
    </w:tbl>
    <w:p w14:paraId="73B3A4D5" w14:textId="77777777" w:rsidR="00C405E4" w:rsidRPr="00C405E4" w:rsidRDefault="00C405E4" w:rsidP="00C405E4"/>
    <w:p w14:paraId="4DC775D7" w14:textId="77777777" w:rsidR="00C405E4" w:rsidRPr="00C405E4" w:rsidRDefault="00C405E4" w:rsidP="00114168">
      <w:pPr>
        <w:pStyle w:val="AuthorityNote"/>
      </w:pPr>
      <w:r w:rsidRPr="00C405E4">
        <w:t xml:space="preserve">AUTHORITY NOTE: Promulgated in accordance with R.S. 40:1730.22(C) and (D) and 40:1730.26(1). </w:t>
      </w:r>
    </w:p>
    <w:p w14:paraId="780099AF" w14:textId="77777777" w:rsidR="00114168" w:rsidRDefault="00C405E4" w:rsidP="00114168">
      <w:pPr>
        <w:pStyle w:val="HistoricalNote"/>
      </w:pPr>
      <w:bookmarkStart w:id="16" w:name="_Hlk213302630"/>
      <w:r w:rsidRPr="00C405E4">
        <w:t>HISTORICAL NOTE: Promulgated by the Department of Public Safety and Corrections, State Uniform Construction Code Council, LR 33:291 (February 2007), amended LR 34:93 (January 2008), LR 34:883 (May 2008), LR 34:2205 (October 2008), LR 35:1904 (September 2009), LR 36:2574 (November 2010), effective January 1, 2011, LR 37:601 (February 2011), LR 37:913 (March 2011), repromulgated LR 37:2187 (July 2011), repromulgated LR 37:2726 (September 2011), LR 37:3065 (October 2011), LR 38:1994 (August 2012), amended by the Department of Public Safety and Corrections, Uniform Construction Code Council, LR 39:1825 (July 2013), LR 39:2512 (September 2013), LR 40:2609 (December 2014), amended by the Department of Public Safety and Corrections, Office of State Fire Marshal, LR 41: 2383 (November 2015), amended by the Department of Public Safety and Corrections, Office of the State Fire Marshal, Uniform Construction Code Council, LR 44:79 (January 2018), repromulgated LR 45:916 (July 2019), amended LR 48:2582 (October 2022), LR 50:404 (March 2024), amended by the Office of the Governor, Uniform Construction Code Council LR 52:</w:t>
      </w:r>
      <w:bookmarkEnd w:id="16"/>
    </w:p>
    <w:p w14:paraId="4A14D3F2" w14:textId="77777777" w:rsidR="00114168" w:rsidRDefault="00114168" w:rsidP="00DB5A0E">
      <w:pPr>
        <w:pStyle w:val="A0"/>
      </w:pPr>
      <w:bookmarkStart w:id="17" w:name="Temp"/>
      <w:bookmarkStart w:id="18" w:name="Tempiii"/>
      <w:bookmarkEnd w:id="17"/>
    </w:p>
    <w:bookmarkEnd w:id="18"/>
    <w:p w14:paraId="1C13D10B" w14:textId="77777777" w:rsidR="00DB5A0E" w:rsidRDefault="00C405E4" w:rsidP="00114168">
      <w:pPr>
        <w:pStyle w:val="RegSignature"/>
      </w:pPr>
      <w:r w:rsidRPr="00C405E4">
        <w:t>Brad Hassert</w:t>
      </w:r>
    </w:p>
    <w:p w14:paraId="3F475C93" w14:textId="77777777" w:rsidR="00114168" w:rsidRDefault="00C405E4" w:rsidP="00114168">
      <w:pPr>
        <w:pStyle w:val="RegSignature"/>
      </w:pPr>
      <w:r w:rsidRPr="00C405E4">
        <w:t>Executive Director</w:t>
      </w:r>
    </w:p>
    <w:p w14:paraId="2FB75B7B" w14:textId="77777777" w:rsidR="00114168" w:rsidRPr="00C405E4" w:rsidRDefault="00114168" w:rsidP="00114168">
      <w:pPr>
        <w:pStyle w:val="RegLogNumber"/>
      </w:pPr>
      <w:bookmarkStart w:id="19" w:name="LastPara"/>
      <w:bookmarkEnd w:id="19"/>
      <w:r>
        <w:t>2511#027</w:t>
      </w:r>
      <w:bookmarkEnd w:id="8"/>
    </w:p>
    <w:sectPr w:rsidR="00114168" w:rsidRPr="00C405E4" w:rsidSect="00114168">
      <w:type w:val="continuous"/>
      <w:pgSz w:w="12240" w:h="15840"/>
      <w:pgMar w:top="720" w:right="864" w:bottom="317" w:left="864" w:header="576" w:footer="432"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E2EAC7" w14:textId="77777777" w:rsidR="00B24545" w:rsidRDefault="00B24545">
      <w:r>
        <w:separator/>
      </w:r>
    </w:p>
  </w:endnote>
  <w:endnote w:type="continuationSeparator" w:id="0">
    <w:p w14:paraId="378C6079" w14:textId="77777777" w:rsidR="00B24545" w:rsidRDefault="00B245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C116B0" w14:textId="77777777" w:rsidR="00B24545" w:rsidRDefault="00B24545">
      <w:r>
        <w:separator/>
      </w:r>
    </w:p>
  </w:footnote>
  <w:footnote w:type="continuationSeparator" w:id="0">
    <w:p w14:paraId="2A6BDC02" w14:textId="77777777" w:rsidR="00B24545" w:rsidRDefault="00B2454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4"/>
  <w:activeWritingStyle w:appName="MSWord" w:lang="en-US" w:vendorID="8" w:dllVersion="513" w:checkStyle="1"/>
  <w:proofState w:spelling="clean" w:grammar="clean"/>
  <w:attachedTemplate r:id="rId1"/>
  <w:linkStyles/>
  <w:documentProtection w:edit="readOnly" w:enforcement="1"/>
  <w:defaultTabStop w:val="72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hosenDepartment" w:val="Governor, Office of the"/>
    <w:docVar w:name="ChosenSubDepartment" w:val="Uniform Construction Code Council"/>
    <w:docVar w:name="CreationDate" w:val="11/6/2025 3:13:45 PM"/>
    <w:docVar w:name="Dept(0)" w:val="Agriculture and Forestry, Department of%%%(none)@@@Department of Agriculture and Forestry"/>
    <w:docVar w:name="Dept(1)" w:val="Civil Service, Department of%%%(none)@@@Department of Civil Service"/>
    <w:docVar w:name="Dept(10)" w:val="Justice, Department of%%%(none)@@@Department of Justice"/>
    <w:docVar w:name="Dept(100)" w:val="State, Department of%%%Division of Archives, Records Management and History@@@Department of the State"/>
    <w:docVar w:name="Dept(101)" w:val="Division of Administration%%%Office of State Purchasing@@@Office of the Governor  Division of Administration"/>
    <w:docVar w:name="Dept(102)" w:val="Agriculture and Forestry, Department of%%%Office of the Commissioner@@@Department of Agriculture and Forestry"/>
    <w:docVar w:name="Dept(103)" w:val="Governor, Office of the%%%Board of Certified Public Accountants of Louisiana@@@Office of the Governor"/>
    <w:docVar w:name="Dept(104)" w:val="River Port Pilot Commissioners%%%Board of River Port Pilot Commissioners@@@Office of the Governor"/>
    <w:docVar w:name="Dept(105)" w:val="River Port Pilot Commissioners%%%Board of River Port Pilot Commissioners@@@Office of the Governor"/>
    <w:docVar w:name="Dept(106)" w:val="River Port Pilot Commissioners and Examiners%%%Board of River Port Pilot Commissioners@@@Office of the Governor"/>
    <w:docVar w:name="Dept(107)" w:val="Division of Administration%%%Office of State Travel@@@Office of the Governor  Division of Administration"/>
    <w:docVar w:name="Dept(108)" w:val="Bar Pilots%%%(none)@@@Board of River Port Pilot Commissioners"/>
    <w:docVar w:name="Dept(109)" w:val="Health and Hospitals, Department of%%%Board of Electrolysis Examiners@@@Department of Health and Hospitals"/>
    <w:docVar w:name="Dept(11)" w:val="Governor, Office of%%%Division of Administration@@@Office of the Governor"/>
    <w:docVar w:name="Dept(110)" w:val="Health and Hospitals, Department of%%%Board of Certified Social Work Examiners@@@Department of Health and Hospitals"/>
    <w:docVar w:name="Dept(111)" w:val="Health and Hospitals, Department of%%%Board of Pharmacy@@@Department of Health and Hospitals"/>
    <w:docVar w:name="Dept(112)" w:val="Environmental Quality, Department of%%%Office of Environmental Assessment    Environmental  Planning Division@@@Department of Environmental Quality"/>
    <w:docVar w:name="Dept(113)" w:val="Bar Pilots%%%Board of Examiners of Bar Pilots for the Port of New Orleans@@@Associated Branch Pilots"/>
    <w:docVar w:name="Dept(114)" w:val="Agriculture and Forestry, Department of%%%Office of Forestry@@@Department of Agriculture and Forestry"/>
    <w:docVar w:name="Dept(115)" w:val="LSU Health Sciences Center%%%Health Care Services Division@@@LSU Health Sciences Center"/>
    <w:docVar w:name="Dept(116)" w:val="Revenue, Department of%%%Office of Charitable Gaming@@@Department of Revenue"/>
    <w:docVar w:name="Dept(117)" w:val="Division of Administration%%%Racing Commission@@@Office of the Governor  Division of Administration"/>
    <w:docVar w:name="Dept(118)" w:val="Agriculture and Forestry, Department of%%%Horticulture Commission@@@Department of Agriculture and Forestry"/>
    <w:docVar w:name="Dept(119)" w:val="Health and Hospitals, Department of%%%Board of Examiners for Sanitarians@@@Department of Health and Hospitals"/>
    <w:docVar w:name="Dept(12)" w:val="Health and Hospitals, Department of%%%Board of Veterinary Medicine@@@Department of Health and Hospitals"/>
    <w:docVar w:name="Dept(120)" w:val="Health and Hospitals, Department of%%%Board of Dentistry@@@Department of Health and Hospitals"/>
    <w:docVar w:name="Dept(121)" w:val="Governor, Office of the%%%Commission on Law Enforcement and Administration of Criminal Justice@@@Office of the Governor"/>
    <w:docVar w:name="Dept(122)" w:val="Transportation and Development, Department of%%%Office of Weights and Measures@@@Department of Transportation and Development"/>
    <w:docVar w:name="Dept(123)" w:val="Governor, Office of the%%%Racing Commisison@@@Office of the Govenor  Division of Administration"/>
    <w:docVar w:name="Dept(124)" w:val="Treasury, Department of%%%Board of Trustees of the Louisiana State Employees' Retirement System@@@Department of Treasury"/>
    <w:docVar w:name="Dept(125)" w:val="Regents%%%Office of Student Financial Assistance@@@Board of Regents"/>
    <w:docVar w:name="Dept(126)" w:val="Workforce Commission%%%Office of Workers' Compensation@@@Workforce Commission"/>
    <w:docVar w:name="Dept(127)" w:val="Governor, Office of the%%%Boxing and Wrestling Commission@@@Office of the Governor"/>
    <w:docVar w:name="Dept(128)" w:val="Children and Family Services%%%Licensing Section@@@Department of Children and Family Services"/>
    <w:docVar w:name="Dept(129)" w:val="Governor, Office of the%%%Patient's Compensation Fund Oversight Board@@@Office of the Governor"/>
    <w:docVar w:name="Dept(13)" w:val="Agriculture and Forestry, Department of%%%Office of Animal Health Services@@@Department of Agriculture and Forestry"/>
    <w:docVar w:name="Dept(130)" w:val="State, Department of%%%(none)@@@Department of State"/>
    <w:docVar w:name="Dept(131)" w:val="Workforce Commission%%%Rehabilitation Services@@@Workforce Commission"/>
    <w:docVar w:name="Dept(132)" w:val="Children and Family Services%%%Economic Stability Section@@@Children and Family Services"/>
    <w:docVar w:name="Dept(133)" w:val="Health and Hospitals, Department of%%%Board of Optometry Examiners@@@Health and Hospitals, Department of"/>
    <w:docVar w:name="Dept(134)" w:val="Environmental Quality, Department of%%%Legal Affairs and Criminal Investigations Division@@@Department of Environmental Quality"/>
    <w:docVar w:name="Dept(135)" w:val="Health and Hospitals, Department of%%%(none)@@@Behavior Analyst Board"/>
    <w:docVar w:name="Dept(136)" w:val="Governor, Office of the%%%Office of Financial Institutions@@@Governor, Office of the"/>
    <w:docVar w:name="Dept(137)" w:val="Governor, Office of the%%%Division of Administration/Office of State Uniform Payroll@@@Governor, Office of the"/>
    <w:docVar w:name="Dept(138)" w:val="Culture and Recreation, Department of%%%Office of State Parks@@@Culture and Recreation, Department of"/>
    <w:docVar w:name="Dept(139)" w:val="Health and Hospitals, Department of%%%Health Standards Section@@@Health and Hospitals, Department of"/>
    <w:docVar w:name="Dept(14)" w:val="Natural Resources, Department of%%%Office of Conservation@@@Department of Natural Resources"/>
    <w:docVar w:name="Dept(140)" w:val="Governor, Office of the%%%Capital Area Groundwater Conservation Commission@@@Governor, Office of the"/>
    <w:docVar w:name="Dept(141)" w:val="Department of Public Safety and Corrections %%%State Police/Emergency Services Unit@@@Department of Public Safety and Corrections "/>
    <w:docVar w:name="Dept(142)" w:val="Agriculture and Forestry, Department of%%%Office of Animal Health and Food Safety@@@Agriculture and Forestry, Department of"/>
    <w:docVar w:name="Dept(143)" w:val="Department of Health%%%Board of Medical Examiners@@@Department of Health"/>
    <w:docVar w:name="Dept(144)" w:val="Agriculture and Forestry, Department of%%%Board of Veterinary Medicine@@@Agriculture and Forestry, Department of"/>
    <w:docVar w:name="Dept(145)" w:val="Children and Family Services%%%Family Support/Economic Stability@@@Children and Family Services"/>
    <w:docVar w:name="Dept(146)" w:val="Governor, Office of the%%%Division of Administration Tax Commission@@@Governor, Office of the"/>
    <w:docVar w:name="Dept(147)" w:val="Coastal Protection and Restoration Authority%%%(none)@@@Coastal Protection and Restoration Authority"/>
    <w:docVar w:name="Dept(148)" w:val="Revenue, Department of%%%Tax Policy and Planning Division@@@Revenue, Department of"/>
    <w:docVar w:name="Dept(149)" w:val="Department of Revenue%%%(none)@@@Department of Revenue"/>
    <w:docVar w:name="Dept(15)" w:val="Civil Service, Department of%%%Board of Ethics@@@Department of Civil Service"/>
    <w:docVar w:name="Dept(150)" w:val="Department of Public Safety and Corrections %%%Louisiana State Police/Emergency Services Unit@@@Department of Public Safety and Corrections "/>
    <w:docVar w:name="Dept(151)" w:val="Department of Public Safety and Corrections %%%Office of State Police@@@Department of Public Safety and Corrections "/>
    <w:docVar w:name="Dept(152)" w:val="Department of Health%%%Board of Pharmacy@@@Department of Health"/>
    <w:docVar w:name="Dept(153)" w:val="Transportation and Development, Department of%%%Professional Engineering and Land Surveying Board@@@Transportation and Development, Department of"/>
    <w:docVar w:name="Dept(154)" w:val="Department of Health%%%Board of Examiners of Psychologists@@@Department of Health"/>
    <w:docVar w:name="Dept(155)" w:val="Department of Health%%%Bureau of Health Services Financing@@@Department of Health"/>
    <w:docVar w:name="Dept(156)" w:val="Governor, Office of the%%%Division of Administration/Office of Broadband Development and Connectivity@@@Governor, Office of the"/>
    <w:docVar w:name="Dept(157)" w:val="Children and Family Services%%%Child Welfare@@@Children and Family Services"/>
    <w:docVar w:name="Dept(158)" w:val="Department of Health%%%Licensed Professional Counselors Board of Examiners@@@Department of Health"/>
    <w:docVar w:name="Dept(159)" w:val="Department of Energy and Natural Resources%%%Office of Conservation@@@Department of Energy and Natural Resources"/>
    <w:docVar w:name="Dept(16)" w:val="Economic Development, Department of%%%Board of Architectural Examiners@@@Department of Economic Development"/>
    <w:docVar w:name="Dept(160)" w:val="Department of Education%%%Special School District Board@@@Department of Education"/>
    <w:docVar w:name="Dept(161)" w:val="Justice, Department of%%%(none)@@@LADOJ"/>
    <w:docVar w:name="Dept(162)" w:val="Justice, Department of%%%LADOJ@@@Justice, Department of"/>
    <w:docVar w:name="Dept(163)" w:val="Governor, Office of the%%%Board of Home Inspectors@@@Governor, Office of the"/>
    <w:docVar w:name="Dept(164)" w:val="Department of Health%%%Board of Social Work Examiners@@@Department of Health"/>
    <w:docVar w:name="Dept(165)" w:val="Department of Health%%%Office of Public Health@@@Department of Health"/>
    <w:docVar w:name="Dept(166)" w:val="Department of Health%%%(none)@@@Health Standards Section"/>
    <w:docVar w:name="Dept(167)" w:val="Department of Health%%%Health Standards Section@@@Department of Health"/>
    <w:docVar w:name="Dept(168)" w:val="Department of Health%%%Radiologic Technology Board of Examiners@@@Department of Health"/>
    <w:docVar w:name="Dept(169)" w:val="Insurance, Department of%%%Office of Health, Life, and Annuity@@@Insurance, Department of"/>
    <w:docVar w:name="Dept(17)" w:val="Education, Department of%%%Office of Secretary@@@Department of Education"/>
    <w:docVar w:name="Dept(170)" w:val="Division of Administration%%%Office of Broadband Development and Connectivity@@@Division of Administration"/>
    <w:docVar w:name="Dept(171)" w:val="Department of Revenue%%%Tax Policy and Planning Division@@@Department of Revenue"/>
    <w:docVar w:name="Dept(172)" w:val="Office of the Governor%%%Division of Administration, Racing Commission@@@Office of the Governor"/>
    <w:docVar w:name="Dept(173)" w:val="Workforce Commission%%%Office of Workers' Compensation Administration@@@Workforce Commission"/>
    <w:docVar w:name="Dept(174)" w:val="Louisiana Works%%%Office of the Secretary@@@Louisiana Works"/>
    <w:docVar w:name="Dept(175)" w:val="Louisiana Works%%%Office of Unemployment Insurance Administration@@@Louisiana Works"/>
    <w:docVar w:name="Dept(176)" w:val="Governor, Office of the%%%Uniform Construction Code Council@@@Governor, Office of the"/>
    <w:docVar w:name="Dept(177)" w:val="zzzblank"/>
    <w:docVar w:name="Dept(178)" w:val="zzzblank"/>
    <w:docVar w:name="Dept(179)" w:val="zzzblank"/>
    <w:docVar w:name="Dept(18)" w:val="Student Financial Assistance Commission%%%Office of Student Financial Assistance@@@Student Financial Assistance Commission"/>
    <w:docVar w:name="Dept(180)" w:val="zzzblank"/>
    <w:docVar w:name="Dept(181)" w:val="zzzblank"/>
    <w:docVar w:name="Dept(182)" w:val="zzzblank"/>
    <w:docVar w:name="Dept(183)" w:val="zzzblank"/>
    <w:docVar w:name="Dept(184)" w:val="zzzblank"/>
    <w:docVar w:name="Dept(185)" w:val="zzzblank"/>
    <w:docVar w:name="Dept(186)" w:val="zzzblank"/>
    <w:docVar w:name="Dept(187)" w:val="zzzblank"/>
    <w:docVar w:name="Dept(188)" w:val="zzzblank"/>
    <w:docVar w:name="Dept(189)" w:val="zzzblank"/>
    <w:docVar w:name="Dept(19)" w:val="Culture and Recreation, Department of%%%New Office of Something@@@Department of Culture and Recreation"/>
    <w:docVar w:name="Dept(190)" w:val="zzzblank"/>
    <w:docVar w:name="Dept(191)" w:val="zzzblank"/>
    <w:docVar w:name="Dept(192)" w:val="zzzblank"/>
    <w:docVar w:name="Dept(193)" w:val="zzzblank"/>
    <w:docVar w:name="Dept(194)" w:val="zzzblank"/>
    <w:docVar w:name="Dept(195)" w:val="zzzblank"/>
    <w:docVar w:name="Dept(196)" w:val="zzzblank"/>
    <w:docVar w:name="Dept(197)" w:val="zzzblank"/>
    <w:docVar w:name="Dept(198)" w:val="zzzblank"/>
    <w:docVar w:name="Dept(199)" w:val="zzzblank"/>
    <w:docVar w:name="Dept(2)" w:val="Culture and Recreation, Department of%%%(none)@@@Department of Culture and Recreation"/>
    <w:docVar w:name="Dept(20)" w:val="Education, Department of%%%Board of Elementary and Secondary Education@@@Department of Education"/>
    <w:docVar w:name="Dept(200)" w:val="zzzblank"/>
    <w:docVar w:name="Dept(201)" w:val="zzzblank"/>
    <w:docVar w:name="Dept(202)" w:val="zzzblank"/>
    <w:docVar w:name="Dept(203)" w:val="zzzblank"/>
    <w:docVar w:name="Dept(204)" w:val="zzzblank"/>
    <w:docVar w:name="Dept(205)" w:val="zzzblank"/>
    <w:docVar w:name="Dept(206)" w:val="zzzblank"/>
    <w:docVar w:name="Dept(207)" w:val="zzzblank"/>
    <w:docVar w:name="Dept(208)" w:val="zzzblank"/>
    <w:docVar w:name="Dept(209)" w:val="zzzblank"/>
    <w:docVar w:name="Dept(21)" w:val="Revenue, Department of%%%Corporation Income and Franchise Taxes Division@@@Department of Revenue"/>
    <w:docVar w:name="Dept(210)" w:val="zzzblank"/>
    <w:docVar w:name="Dept(211)" w:val="zzzblank"/>
    <w:docVar w:name="Dept(212)" w:val="zzzblank"/>
    <w:docVar w:name="Dept(213)" w:val="zzzblank"/>
    <w:docVar w:name="Dept(214)" w:val="zzzblank"/>
    <w:docVar w:name="Dept(215)" w:val="zzzblank"/>
    <w:docVar w:name="Dept(216)" w:val="zzzblank"/>
    <w:docVar w:name="Dept(217)" w:val="zzzblank"/>
    <w:docVar w:name="Dept(218)" w:val="zzzblank"/>
    <w:docVar w:name="Dept(219)" w:val="zzzblank"/>
    <w:docVar w:name="Dept(22)" w:val="Civil Service, Department of%%%Civil Service Commission@@@Department of Civil Service"/>
    <w:docVar w:name="Dept(220)" w:val="zzzblank"/>
    <w:docVar w:name="Dept(221)" w:val="zzzblank"/>
    <w:docVar w:name="Dept(222)" w:val="zzzblank"/>
    <w:docVar w:name="Dept(223)" w:val="zzzblank"/>
    <w:docVar w:name="Dept(224)" w:val="zzzblank"/>
    <w:docVar w:name="Dept(225)" w:val="zzzblank"/>
    <w:docVar w:name="Dept(226)" w:val="zzzblank"/>
    <w:docVar w:name="Dept(227)" w:val="zzzblank"/>
    <w:docVar w:name="Dept(228)" w:val="zzzblank"/>
    <w:docVar w:name="Dept(229)" w:val="zzzblank"/>
    <w:docVar w:name="Dept(23)" w:val="Economic Development, Department of%%%Racing Commission@@@Department of Economic Development"/>
    <w:docVar w:name="Dept(230)" w:val="zzzblank"/>
    <w:docVar w:name="Dept(231)" w:val="zzzblank"/>
    <w:docVar w:name="Dept(232)" w:val="zzzblank"/>
    <w:docVar w:name="Dept(233)" w:val="zzzblank"/>
    <w:docVar w:name="Dept(234)" w:val="zzzblank"/>
    <w:docVar w:name="Dept(235)" w:val="zzzblank"/>
    <w:docVar w:name="Dept(236)" w:val="zzzblank"/>
    <w:docVar w:name="Dept(237)" w:val="zzzblank"/>
    <w:docVar w:name="Dept(238)" w:val="zzzblank"/>
    <w:docVar w:name="Dept(239)" w:val="zzzblank"/>
    <w:docVar w:name="Dept(24)" w:val="Agriculture and Forestry, Department of%%%Office of Agriculture and Environmental Sciences@@@Department of Agriculture and Environmental Sciences"/>
    <w:docVar w:name="Dept(240)" w:val="zzzblank"/>
    <w:docVar w:name="Dept(241)" w:val="zzzblank"/>
    <w:docVar w:name="Dept(242)" w:val="zzzblank"/>
    <w:docVar w:name="Dept(243)" w:val="zzzblank"/>
    <w:docVar w:name="Dept(244)" w:val="zzzblank"/>
    <w:docVar w:name="Dept(245)" w:val="zzzblank"/>
    <w:docVar w:name="Dept(246)" w:val="zzzblank"/>
    <w:docVar w:name="Dept(247)" w:val="zzzblank"/>
    <w:docVar w:name="Dept(248)" w:val="zzzblank"/>
    <w:docVar w:name="Dept(249)" w:val="zzzblank"/>
    <w:docVar w:name="Dept(25)" w:val="Agriculture and Forestry, Department of%%%Structural Pest Control Commission@@@Department of Agriculture and Forestry"/>
    <w:docVar w:name="Dept(250)" w:val="zzzblank"/>
    <w:docVar w:name="Dept(251)" w:val="zzzblank"/>
    <w:docVar w:name="Dept(252)" w:val="zzzblank"/>
    <w:docVar w:name="Dept(253)" w:val="zzzblank"/>
    <w:docVar w:name="Dept(254)" w:val="zzzblank"/>
    <w:docVar w:name="Dept(255)" w:val="zzzblank"/>
    <w:docVar w:name="Dept(256)" w:val="zzzblank"/>
    <w:docVar w:name="Dept(257)" w:val="zzzblank"/>
    <w:docVar w:name="Dept(258)" w:val="zzzblank"/>
    <w:docVar w:name="Dept(259)" w:val="zzzblank"/>
    <w:docVar w:name="Dept(26)" w:val="Environmental Quality, Department of%%%Office of Waste Services Hazardous Waste Division@@@Department of Environmental Quality"/>
    <w:docVar w:name="Dept(260)" w:val="zzzblank"/>
    <w:docVar w:name="Dept(261)" w:val="zzzblank"/>
    <w:docVar w:name="Dept(262)" w:val="zzzblank"/>
    <w:docVar w:name="Dept(263)" w:val="zzzblank"/>
    <w:docVar w:name="Dept(264)" w:val="zzzblank"/>
    <w:docVar w:name="Dept(265)" w:val="zzzblank"/>
    <w:docVar w:name="Dept(266)" w:val="zzzblank"/>
    <w:docVar w:name="Dept(267)" w:val="zzzblank"/>
    <w:docVar w:name="Dept(268)" w:val="zzzblank"/>
    <w:docVar w:name="Dept(269)" w:val="zzzblank"/>
    <w:docVar w:name="Dept(27)" w:val="Public Safety, Office of%%%Gaming Control Board@@@Office of Public Safety"/>
    <w:docVar w:name="Dept(270)" w:val="zzzblank"/>
    <w:docVar w:name="Dept(271)" w:val="zzzblank"/>
    <w:docVar w:name="Dept(272)" w:val="zzzblank"/>
    <w:docVar w:name="Dept(273)" w:val="zzzblank"/>
    <w:docVar w:name="Dept(274)" w:val="zzzblank"/>
    <w:docVar w:name="Dept(275)" w:val="zzzblank"/>
    <w:docVar w:name="Dept(276)" w:val="zzzblank"/>
    <w:docVar w:name="Dept(277)" w:val="zzzblank"/>
    <w:docVar w:name="Dept(278)" w:val="zzzblank"/>
    <w:docVar w:name="Dept(279)" w:val="zzzblank"/>
    <w:docVar w:name="Dept(28)" w:val="Labor, Department of%%%Office of Workers' Compensation@@@Department of Labor"/>
    <w:docVar w:name="Dept(280)" w:val="zzzblank"/>
    <w:docVar w:name="Dept(281)" w:val="zzzblank"/>
    <w:docVar w:name="Dept(282)" w:val="zzzblank"/>
    <w:docVar w:name="Dept(283)" w:val="zzzblank"/>
    <w:docVar w:name="Dept(284)" w:val="zzzblank"/>
    <w:docVar w:name="Dept(285)" w:val="zzzblank"/>
    <w:docVar w:name="Dept(286)" w:val="zzzblank"/>
    <w:docVar w:name="Dept(287)" w:val="zzzblank"/>
    <w:docVar w:name="Dept(288)" w:val="zzzblank"/>
    <w:docVar w:name="Dept(289)" w:val="zzzblank"/>
    <w:docVar w:name="Dept(29)" w:val="Insurance, Department of%%%Office of the Commissioner@@@Department of Insurance"/>
    <w:docVar w:name="Dept(290)" w:val="zzzblank"/>
    <w:docVar w:name="Dept(291)" w:val="zzzblank"/>
    <w:docVar w:name="Dept(292)" w:val="zzzblank"/>
    <w:docVar w:name="Dept(293)" w:val="zzzblank"/>
    <w:docVar w:name="Dept(294)" w:val="zzzblank"/>
    <w:docVar w:name="Dept(295)" w:val="zzzblank"/>
    <w:docVar w:name="Dept(296)" w:val="zzzblank"/>
    <w:docVar w:name="Dept(297)" w:val="zzzblank"/>
    <w:docVar w:name="Dept(298)" w:val="zzzblank"/>
    <w:docVar w:name="Dept(299)" w:val="zzzblank"/>
    <w:docVar w:name="Dept(3)" w:val="Economic Development, Department of%%%(none)@@@Department of Economic Development"/>
    <w:docVar w:name="Dept(30)" w:val="Social Services, Department of%%%Office of Family Support@@@Department of Social Services"/>
    <w:docVar w:name="Dept(300)" w:val="zzzblank"/>
    <w:docVar w:name="Dept(31)" w:val="Transportation and Development, Office of%%%Office of the Secretary@@@Department of Transportation and Development"/>
    <w:docVar w:name="Dept(32)" w:val="Treasury, Department of%%%Teachers' Retirement System@@@Department of Treasury"/>
    <w:docVar w:name="Dept(33)" w:val="Senate Committe on Health and Welfare%%%(none)@@@Senate Committe on Health and Welfare"/>
    <w:docVar w:name="Dept(34)" w:val="Wildlife and Fisheries, Department of%%%Wildlife and Fisheries Commission@@@Department of Wildlife and Fisheries"/>
    <w:docVar w:name="Dept(35)" w:val="Public Safety, Office of%%%Department of Public Safety and Corrections  Corrections Services@@@Office of Public Safety"/>
    <w:docVar w:name="Dept(36)" w:val="Governor, Office of the%%%Oil Spill Coordinator's Office@@@Office of the Governor"/>
    <w:docVar w:name="Dept(37)" w:val="Economic Development%%%Office Financial Institutions@@@Economic Development"/>
    <w:docVar w:name="Dept(38)" w:val="Economic Development, Department of%%%Office of the Secretary@@@Department of Economic Development"/>
    <w:docVar w:name="Dept(39)" w:val="Environmental Quality, Department of%%%Office of Environmental Assessment@@@Department of Environmental Quality"/>
    <w:docVar w:name="Dept(4)" w:val="Education, Department of%%%(none)@@@Department of Education"/>
    <w:docVar w:name="Dept(40)" w:val="Governor, Office of the%%%Office of Veterans Affairs@@@Office of the Governor"/>
    <w:docVar w:name="Dept(41)" w:val="Public Safety, Department  of%%%Office of State Police@@@Department of Public Safety"/>
    <w:docVar w:name="Dept(42)" w:val="BESE%%%(none)@@@Board of Elementary and Secondary Education"/>
    <w:docVar w:name="Dept(43)" w:val="Public Safety, Department  of%%%Corrections Services@@@Department of Public Safety and Corrections"/>
    <w:docVar w:name="Dept(44)" w:val="Public Safety, Department  of%%%Gaming Control Board@@@Department of Public Safety and Corrections"/>
    <w:docVar w:name="Dept(45)" w:val="Natural Resources, Department of%%%Office of Mineral Resources@@@Department of Natural Resources"/>
    <w:docVar w:name="Dept(46)" w:val="Governor, Office of the%%%Board of the Trustees of the State Employees Group Benefits Program@@@Office of the Governor"/>
    <w:docVar w:name="Dept(47)" w:val="Labor, Department of%%%Board of Barber Examiners@@@Department of Labor"/>
    <w:docVar w:name="Dept(48)" w:val="Governor, Office of the%%%Division of Administration    Office of Facility Planning And Control@@@Office of the Governor"/>
    <w:docVar w:name="Dept(49)" w:val="Economic Development%%%Racing Commission@@@Department of Economic Development"/>
    <w:docVar w:name="Dept(5)" w:val="Elections and Registration, Department of%%%(none)@@@Department of Elections and Registration"/>
    <w:docVar w:name="Dept(50)" w:val="LOSFA%%%Office of Student Finanical Assistance@@@Student Financial Assistance Commission"/>
    <w:docVar w:name="Dept(51)" w:val="Transportation and Development, Office of%%%Office-Premise Changeable Message Signs@@@Department of Transportation and Development"/>
    <w:docVar w:name="Dept(52)" w:val="Health and Hospitals, Department of%%%Board of Examiners for Speech-Language Pathology and Audiology@@@Department of Health and Hospitals"/>
    <w:docVar w:name="Dept(53)" w:val="Bar Pilots%%%(none)@@@Board of Examiners of Bar Pilots for the Port of New Orleans"/>
    <w:docVar w:name="Dept(54)" w:val="Division of Administrative Law%%%(none)@@@Division of Administrative Law"/>
    <w:docVar w:name="Dept(55)" w:val="Transportation and Development, Office of%%%Cresent City Connection Division@@@Office of Transportation and Development  Office of the Secretary"/>
    <w:docVar w:name="Dept(56)" w:val="Tuition Trust Authority%%%Office of Student Financial Assistance@@@Tuition Trust Authority"/>
    <w:docVar w:name="Dept(57)" w:val="Health and Hospitals, Department of%%%Licensed Professional Vocational Rehabilitation Counselors Board of Examiners@@@Department of Health and Hospitals"/>
    <w:docVar w:name="Dept(58)" w:val="Health and Hospitals, Department of%%%Office of Public Health@@@Department of Health and Hospitals"/>
    <w:docVar w:name="Dept(59)" w:val="Public Safety, Department  of%%%Office of the State Fire Marshal@@@Department of Public Safety and Corrections"/>
    <w:docVar w:name="Dept(6)" w:val="Environmental Quality, Department of%%%(none)@@@Department of Environmental Quality"/>
    <w:docVar w:name="Dept(60)" w:val="Health and Hospitals, Department of%%%Board of Certification for Substance Abuse Counselors@@@Department of Health and Hospitals"/>
    <w:docVar w:name="Dept(61)" w:val="Health and Hospitals, Department of%%%Bureau of  Health Services Financing@@@Department of Health and Hospitals"/>
    <w:docVar w:name="Dept(62)" w:val="Governor, Office of the%%%Office of Women's Services@@@Office of the Governor"/>
    <w:docVar w:name="Dept(63)" w:val="Committee on Administration of Criminal Justice%%%Committee on Administration of Criminal Justice @@@House of Representatives"/>
    <w:docVar w:name="Dept(64)" w:val="Division of Administration%%%Office of State Uniform Payroll@@@Office of the Governor Division of Administration"/>
    <w:docVar w:name="Dept(65)" w:val="LOSFA%%%Tuition Trust Authority@@@Office of Student Financial Assistance"/>
    <w:docVar w:name="Dept(66)" w:val="State Legislature%%%2001 Regular Session@@@State Legislature  "/>
    <w:docVar w:name="Dept(67)" w:val="Division of Administration%%%Office of Group Benefits@@@Division of Administration"/>
    <w:docVar w:name="Dept(68)" w:val="Governor, Office of the%%%Office of Group Benefits@@@Office of the Governor, Division of Administration"/>
    <w:docVar w:name="Dept(69)" w:val="Revenue, Department of%%%Policy Services Division@@@Department of Revenue"/>
    <w:docVar w:name="Dept(7)" w:val="Governor, Office of the%%%(none)@@@Office of the Governor"/>
    <w:docVar w:name="Dept(70)" w:val="Revenue, Department of%%%Office of Alcohol and Tobacco Control@@@Department of Revenue"/>
    <w:docVar w:name="Dept(71)" w:val="River Port Pilot Commissioners and Examiners%%%Calcasieu River Waterway@@@Board of River Port Pilot Commissioners and Examiners"/>
    <w:docVar w:name="Dept(72)" w:val="Treasury, Department of%%%Deferred Compensation Commission@@@Department of Treasury"/>
    <w:docVar w:name="Dept(73)" w:val="Governor, Office of the%%%Office of Indian Affairs@@@Office of the Governor"/>
    <w:docVar w:name="Dept(74)" w:val="Health and Hospitals, Department of%%%Office of the Secretary@@@Department of Health and Hospitals"/>
    <w:docVar w:name="Dept(75)" w:val="Health and Hospitals, Department of%%%Board of Nursing@@@Department of Health and Hospitals"/>
    <w:docVar w:name="Dept(76)" w:val="Subcommittee on Oversight of the House Committee on Commerce%%%(none)@@@Subcommittee on Oversight of the House Committee on Commerce"/>
    <w:docVar w:name="Dept(77)" w:val="Governor, Office of the%%%Division of Administration  Office of Statewide Reporting Accounting Policy@@@Office of the Governor"/>
    <w:docVar w:name="Dept(78)" w:val="Environmental Quality, Department of%%%Office of the Secretary@@@Department of Environmental Quality"/>
    <w:docVar w:name="Dept(79)" w:val="Insurance, Department of%%%Property and Casualty Division@@@Department of Insurance"/>
    <w:docVar w:name="Dept(8)" w:val="Health and Hospitals, Department of%%%(none)@@@Department of Health and Hospitals"/>
    <w:docVar w:name="Dept(80)" w:val="Agriculture and Forestry, Department of%%%Office of Agro Consumer Services@@@Department of Agriculture and Forestry"/>
    <w:docVar w:name="Dept(81)" w:val="Health and Hospitals, Department of%%%Office of the Secretary  Bureau of Community Supports and Services@@@Department of Health and Hospitals"/>
    <w:docVar w:name="Dept(82)" w:val="Economic Development%%%Office of Business Development@@@Department of Economic Development"/>
    <w:docVar w:name="Dept(83)" w:val="Economic Development%%%Business Retention and Assistance Services@@@Department of Economic Development"/>
    <w:docVar w:name="Dept(84)" w:val="Governor's Letter to House Committee on Administration of Criminal Justice%%%Committee Chairman@@@Governor's Letter to House Committee on Administration of Criminal Justice"/>
    <w:docVar w:name="Dept(85)" w:val="House of Representatives%%%Committee on Health and Welfare@@@House of Representatives"/>
    <w:docVar w:name="Dept(86)" w:val="Health and Hospitals, Department of%%%Board of Examiners for Licensed Professional Counselors@@@Department of Health and Hospitals"/>
    <w:docVar w:name="Dept(87)" w:val="Wildlife and Fisheries, Department of%%%Office of Fisheries@@@Depart of Wildlife and Fisheries"/>
    <w:docVar w:name="Dept(88)" w:val="Governor, Office of the%%%Board of Architectural Examiners@@@Office of the Governor"/>
    <w:docVar w:name="Dept(89)" w:val="Social Services, Department of%%%Vocational Rehabilitation Services@@@Department of Social Services"/>
    <w:docVar w:name="Dept(9)" w:val="Insurance, Department of%%%(none)@@@Department of Insurance"/>
    <w:docVar w:name="Dept(90)" w:val="Health and Hospitals, Department of%%%Board of Practical Nurse Examiners@@@Department of Health and Hospitals"/>
    <w:docVar w:name="Dept(91)" w:val="Division of Administration%%%Board of Cosmetology@@@Office of the Governor  Division of Administration"/>
    <w:docVar w:name="Dept(92)" w:val="Governor, Office of the%%%Used Motor Vehicle and Parts Commission@@@Office of the Governor"/>
    <w:docVar w:name="Dept(93)" w:val="Revenue, Department of%%%Tax Commission@@@Department of Revenue"/>
    <w:docVar w:name="Dept(94)" w:val="Transportation and Development, Department of%%%Office of Purchasing@@@Department of Transportation and Development"/>
    <w:docVar w:name="Dept(95)" w:val="Governor, Office of the%%%Division of Administration  Office of the Commissioner@@@Office of the Governor"/>
    <w:docVar w:name="Dept(96)" w:val="Social Services, Department of%%%Office of Community Services@@@Department of Social Services"/>
    <w:docVar w:name="Dept(97)" w:val="Health and Hospitals, Department of%%%Board of Medical Examiners@@@Department of Health and Hospitals"/>
    <w:docVar w:name="Dept(98)" w:val="Treasury, Department of%%%Office of the Treasurer@@@Department of Treasury"/>
    <w:docVar w:name="Dept(99)" w:val="Governor, Office of the%%%Division of Administration  Office of State Purchasing@@@Office of the Governor"/>
    <w:docVar w:name="DocTitle" w:val="International Existing Building Code (LAC 17:I.105) "/>
    <w:docVar w:name="DocType" w:val="EMR"/>
    <w:docVar w:name="ExoSeq" w:val="xx"/>
    <w:docVar w:name="FootnotesPresent" w:val="False"/>
    <w:docVar w:name="GovernorName" w:val="Jeff Landry"/>
    <w:docVar w:name="GovInitials" w:val="JML"/>
    <w:docVar w:name="LogInMonth" w:val="11"/>
    <w:docVar w:name="LogInSeq" w:val="027"/>
    <w:docVar w:name="LogInYear" w:val="25"/>
    <w:docVar w:name="PubDate" w:val="July 20, 2025"/>
    <w:docVar w:name="RegNumber" w:val="7"/>
    <w:docVar w:name="RegVolume" w:val="51"/>
    <w:docVar w:name="SecOfStateName" w:val="Nancy Landry"/>
    <w:docVar w:name="StartPageNumber" w:val="abm"/>
    <w:docVar w:name="UserInitials" w:val="abm"/>
  </w:docVars>
  <w:rsids>
    <w:rsidRoot w:val="00C405E4"/>
    <w:rsid w:val="00004CF8"/>
    <w:rsid w:val="000062B1"/>
    <w:rsid w:val="0001034C"/>
    <w:rsid w:val="00012018"/>
    <w:rsid w:val="00020089"/>
    <w:rsid w:val="00021232"/>
    <w:rsid w:val="00025E22"/>
    <w:rsid w:val="000341A6"/>
    <w:rsid w:val="00034A59"/>
    <w:rsid w:val="00037FE6"/>
    <w:rsid w:val="00042686"/>
    <w:rsid w:val="00043219"/>
    <w:rsid w:val="00043DBD"/>
    <w:rsid w:val="000450BF"/>
    <w:rsid w:val="0004516E"/>
    <w:rsid w:val="00054C5E"/>
    <w:rsid w:val="00063D86"/>
    <w:rsid w:val="00065397"/>
    <w:rsid w:val="00071533"/>
    <w:rsid w:val="000721BE"/>
    <w:rsid w:val="00090ACE"/>
    <w:rsid w:val="000A3ACC"/>
    <w:rsid w:val="000B1E1B"/>
    <w:rsid w:val="000B23E4"/>
    <w:rsid w:val="000B3BFA"/>
    <w:rsid w:val="000B71E7"/>
    <w:rsid w:val="000C0944"/>
    <w:rsid w:val="000C3A02"/>
    <w:rsid w:val="000D04F7"/>
    <w:rsid w:val="000D0E94"/>
    <w:rsid w:val="000D10A3"/>
    <w:rsid w:val="000D319A"/>
    <w:rsid w:val="000D4060"/>
    <w:rsid w:val="000D7FE6"/>
    <w:rsid w:val="000E613D"/>
    <w:rsid w:val="000F03F7"/>
    <w:rsid w:val="000F1068"/>
    <w:rsid w:val="000F1FFE"/>
    <w:rsid w:val="00101FFC"/>
    <w:rsid w:val="001104A1"/>
    <w:rsid w:val="00110E22"/>
    <w:rsid w:val="00114168"/>
    <w:rsid w:val="00125B25"/>
    <w:rsid w:val="001303FD"/>
    <w:rsid w:val="00136013"/>
    <w:rsid w:val="00147308"/>
    <w:rsid w:val="001566AC"/>
    <w:rsid w:val="00156A5C"/>
    <w:rsid w:val="00156ED1"/>
    <w:rsid w:val="00164E4E"/>
    <w:rsid w:val="0017552B"/>
    <w:rsid w:val="00182C7C"/>
    <w:rsid w:val="00186189"/>
    <w:rsid w:val="00186CC2"/>
    <w:rsid w:val="00195B9D"/>
    <w:rsid w:val="0019712D"/>
    <w:rsid w:val="001A1C79"/>
    <w:rsid w:val="001A5F25"/>
    <w:rsid w:val="001C4179"/>
    <w:rsid w:val="001C7601"/>
    <w:rsid w:val="001D0D37"/>
    <w:rsid w:val="001D21AB"/>
    <w:rsid w:val="001D28DB"/>
    <w:rsid w:val="001D3124"/>
    <w:rsid w:val="001E30AA"/>
    <w:rsid w:val="001E6F79"/>
    <w:rsid w:val="001E7D4C"/>
    <w:rsid w:val="001F3D10"/>
    <w:rsid w:val="001F5066"/>
    <w:rsid w:val="001F7A3F"/>
    <w:rsid w:val="00203012"/>
    <w:rsid w:val="002114CD"/>
    <w:rsid w:val="00213649"/>
    <w:rsid w:val="00214DAA"/>
    <w:rsid w:val="00221CFD"/>
    <w:rsid w:val="00222E9D"/>
    <w:rsid w:val="00224270"/>
    <w:rsid w:val="00233BA5"/>
    <w:rsid w:val="00234F60"/>
    <w:rsid w:val="0025668A"/>
    <w:rsid w:val="00256C59"/>
    <w:rsid w:val="0026110B"/>
    <w:rsid w:val="00266CBB"/>
    <w:rsid w:val="00270EC7"/>
    <w:rsid w:val="00271311"/>
    <w:rsid w:val="002805A6"/>
    <w:rsid w:val="0028519F"/>
    <w:rsid w:val="00291C1A"/>
    <w:rsid w:val="00292BEB"/>
    <w:rsid w:val="002942E4"/>
    <w:rsid w:val="002A348D"/>
    <w:rsid w:val="002B7BCD"/>
    <w:rsid w:val="002C16C3"/>
    <w:rsid w:val="002C27B5"/>
    <w:rsid w:val="002D65F3"/>
    <w:rsid w:val="002E3817"/>
    <w:rsid w:val="002F2099"/>
    <w:rsid w:val="002F2449"/>
    <w:rsid w:val="003026BE"/>
    <w:rsid w:val="00303A99"/>
    <w:rsid w:val="00317392"/>
    <w:rsid w:val="00323BC3"/>
    <w:rsid w:val="0033184A"/>
    <w:rsid w:val="00334C77"/>
    <w:rsid w:val="0034220B"/>
    <w:rsid w:val="003434B6"/>
    <w:rsid w:val="00345948"/>
    <w:rsid w:val="0034687F"/>
    <w:rsid w:val="00347686"/>
    <w:rsid w:val="0036355E"/>
    <w:rsid w:val="00382C58"/>
    <w:rsid w:val="003845C9"/>
    <w:rsid w:val="00387EC3"/>
    <w:rsid w:val="003A77C6"/>
    <w:rsid w:val="003B1AF7"/>
    <w:rsid w:val="003B1C6E"/>
    <w:rsid w:val="003B6F57"/>
    <w:rsid w:val="003C73C5"/>
    <w:rsid w:val="003D3C4D"/>
    <w:rsid w:val="003D7EB4"/>
    <w:rsid w:val="003E1D26"/>
    <w:rsid w:val="003E5250"/>
    <w:rsid w:val="003E57C8"/>
    <w:rsid w:val="003F1997"/>
    <w:rsid w:val="003F1A48"/>
    <w:rsid w:val="00404DAF"/>
    <w:rsid w:val="004051D4"/>
    <w:rsid w:val="00405E86"/>
    <w:rsid w:val="00416282"/>
    <w:rsid w:val="0041697D"/>
    <w:rsid w:val="0041729F"/>
    <w:rsid w:val="00420735"/>
    <w:rsid w:val="00424D71"/>
    <w:rsid w:val="004348E6"/>
    <w:rsid w:val="00436B5B"/>
    <w:rsid w:val="004374BB"/>
    <w:rsid w:val="00443C5D"/>
    <w:rsid w:val="00443E43"/>
    <w:rsid w:val="00447B96"/>
    <w:rsid w:val="00454537"/>
    <w:rsid w:val="0046400D"/>
    <w:rsid w:val="00477732"/>
    <w:rsid w:val="00481C72"/>
    <w:rsid w:val="00482DC7"/>
    <w:rsid w:val="004873CB"/>
    <w:rsid w:val="0048773A"/>
    <w:rsid w:val="00492AC5"/>
    <w:rsid w:val="004A19DC"/>
    <w:rsid w:val="004A349B"/>
    <w:rsid w:val="004A3DA9"/>
    <w:rsid w:val="004A7FAF"/>
    <w:rsid w:val="004B0B46"/>
    <w:rsid w:val="004B3908"/>
    <w:rsid w:val="004D5C79"/>
    <w:rsid w:val="004F3950"/>
    <w:rsid w:val="004F3F18"/>
    <w:rsid w:val="00506A2C"/>
    <w:rsid w:val="005116F9"/>
    <w:rsid w:val="00521D1E"/>
    <w:rsid w:val="0053093B"/>
    <w:rsid w:val="00531791"/>
    <w:rsid w:val="00542B5D"/>
    <w:rsid w:val="00561BA6"/>
    <w:rsid w:val="00580F53"/>
    <w:rsid w:val="005823C0"/>
    <w:rsid w:val="00586010"/>
    <w:rsid w:val="005861CE"/>
    <w:rsid w:val="005A6B68"/>
    <w:rsid w:val="005B1E1A"/>
    <w:rsid w:val="005C05A8"/>
    <w:rsid w:val="005C1523"/>
    <w:rsid w:val="005D218F"/>
    <w:rsid w:val="005D425E"/>
    <w:rsid w:val="005E5FC8"/>
    <w:rsid w:val="005F5A1C"/>
    <w:rsid w:val="006031EE"/>
    <w:rsid w:val="006040B7"/>
    <w:rsid w:val="00610CB3"/>
    <w:rsid w:val="00615BC7"/>
    <w:rsid w:val="006167E4"/>
    <w:rsid w:val="0062123A"/>
    <w:rsid w:val="006214BD"/>
    <w:rsid w:val="006308E5"/>
    <w:rsid w:val="0063264F"/>
    <w:rsid w:val="006368CA"/>
    <w:rsid w:val="00640BF7"/>
    <w:rsid w:val="0065287B"/>
    <w:rsid w:val="0066588C"/>
    <w:rsid w:val="00665BBA"/>
    <w:rsid w:val="0067246E"/>
    <w:rsid w:val="006751F1"/>
    <w:rsid w:val="00676A6B"/>
    <w:rsid w:val="006778B5"/>
    <w:rsid w:val="00683893"/>
    <w:rsid w:val="006A234E"/>
    <w:rsid w:val="006B03AA"/>
    <w:rsid w:val="006B209E"/>
    <w:rsid w:val="006C5F42"/>
    <w:rsid w:val="006D4385"/>
    <w:rsid w:val="006E3679"/>
    <w:rsid w:val="006E61BF"/>
    <w:rsid w:val="006F2A77"/>
    <w:rsid w:val="006F4308"/>
    <w:rsid w:val="00701E93"/>
    <w:rsid w:val="00702EAB"/>
    <w:rsid w:val="0071274D"/>
    <w:rsid w:val="00712E2E"/>
    <w:rsid w:val="00714625"/>
    <w:rsid w:val="00716B09"/>
    <w:rsid w:val="007226F6"/>
    <w:rsid w:val="00726B25"/>
    <w:rsid w:val="00755753"/>
    <w:rsid w:val="00760677"/>
    <w:rsid w:val="00773E18"/>
    <w:rsid w:val="0079021E"/>
    <w:rsid w:val="007B0A97"/>
    <w:rsid w:val="007C2706"/>
    <w:rsid w:val="007D401C"/>
    <w:rsid w:val="007E2B58"/>
    <w:rsid w:val="007E6B81"/>
    <w:rsid w:val="007F2468"/>
    <w:rsid w:val="007F41CB"/>
    <w:rsid w:val="00807CAA"/>
    <w:rsid w:val="0081480C"/>
    <w:rsid w:val="00815E22"/>
    <w:rsid w:val="0083241F"/>
    <w:rsid w:val="00842FBD"/>
    <w:rsid w:val="0084616A"/>
    <w:rsid w:val="00850683"/>
    <w:rsid w:val="00857C02"/>
    <w:rsid w:val="00860658"/>
    <w:rsid w:val="00866B03"/>
    <w:rsid w:val="00871798"/>
    <w:rsid w:val="00874DB3"/>
    <w:rsid w:val="0088451C"/>
    <w:rsid w:val="00884FCD"/>
    <w:rsid w:val="00892E43"/>
    <w:rsid w:val="00897D30"/>
    <w:rsid w:val="008A074A"/>
    <w:rsid w:val="008A1892"/>
    <w:rsid w:val="008A22A9"/>
    <w:rsid w:val="008A724A"/>
    <w:rsid w:val="008B046A"/>
    <w:rsid w:val="008C1C14"/>
    <w:rsid w:val="008C6622"/>
    <w:rsid w:val="008D53C1"/>
    <w:rsid w:val="008F7B55"/>
    <w:rsid w:val="00915AB6"/>
    <w:rsid w:val="00930BE8"/>
    <w:rsid w:val="009327AD"/>
    <w:rsid w:val="00935843"/>
    <w:rsid w:val="00935872"/>
    <w:rsid w:val="00942A7F"/>
    <w:rsid w:val="0095186C"/>
    <w:rsid w:val="0095261E"/>
    <w:rsid w:val="00952B11"/>
    <w:rsid w:val="0095419C"/>
    <w:rsid w:val="009564F7"/>
    <w:rsid w:val="009643A8"/>
    <w:rsid w:val="00964806"/>
    <w:rsid w:val="009665BA"/>
    <w:rsid w:val="00980BBB"/>
    <w:rsid w:val="0098411E"/>
    <w:rsid w:val="009852A7"/>
    <w:rsid w:val="00991231"/>
    <w:rsid w:val="0099311F"/>
    <w:rsid w:val="009951F4"/>
    <w:rsid w:val="009A1597"/>
    <w:rsid w:val="009A3DF1"/>
    <w:rsid w:val="009C03D6"/>
    <w:rsid w:val="009C5B67"/>
    <w:rsid w:val="009D26DB"/>
    <w:rsid w:val="009E20AE"/>
    <w:rsid w:val="009E5DB3"/>
    <w:rsid w:val="009F08CE"/>
    <w:rsid w:val="009F54F6"/>
    <w:rsid w:val="009F654F"/>
    <w:rsid w:val="00A022DD"/>
    <w:rsid w:val="00A02EDC"/>
    <w:rsid w:val="00A15750"/>
    <w:rsid w:val="00A23614"/>
    <w:rsid w:val="00A27597"/>
    <w:rsid w:val="00A370CC"/>
    <w:rsid w:val="00A43BCA"/>
    <w:rsid w:val="00A50CCF"/>
    <w:rsid w:val="00A5144E"/>
    <w:rsid w:val="00A638D6"/>
    <w:rsid w:val="00A64A77"/>
    <w:rsid w:val="00A66BD6"/>
    <w:rsid w:val="00A66D7E"/>
    <w:rsid w:val="00A77F6C"/>
    <w:rsid w:val="00A824FE"/>
    <w:rsid w:val="00A875D8"/>
    <w:rsid w:val="00A95F81"/>
    <w:rsid w:val="00A96B43"/>
    <w:rsid w:val="00A96E45"/>
    <w:rsid w:val="00A9781F"/>
    <w:rsid w:val="00AA0B01"/>
    <w:rsid w:val="00AA743B"/>
    <w:rsid w:val="00AB4F27"/>
    <w:rsid w:val="00AB6C18"/>
    <w:rsid w:val="00AC263A"/>
    <w:rsid w:val="00AC3692"/>
    <w:rsid w:val="00AC3CA7"/>
    <w:rsid w:val="00AD59B9"/>
    <w:rsid w:val="00AD7F89"/>
    <w:rsid w:val="00AE09B4"/>
    <w:rsid w:val="00AF0F76"/>
    <w:rsid w:val="00AF6163"/>
    <w:rsid w:val="00AF7ADD"/>
    <w:rsid w:val="00B11278"/>
    <w:rsid w:val="00B13D24"/>
    <w:rsid w:val="00B14027"/>
    <w:rsid w:val="00B2119D"/>
    <w:rsid w:val="00B24545"/>
    <w:rsid w:val="00B32DAA"/>
    <w:rsid w:val="00B332ED"/>
    <w:rsid w:val="00B377E7"/>
    <w:rsid w:val="00B4256B"/>
    <w:rsid w:val="00B42913"/>
    <w:rsid w:val="00B50B61"/>
    <w:rsid w:val="00B53100"/>
    <w:rsid w:val="00B55EBA"/>
    <w:rsid w:val="00B63CBB"/>
    <w:rsid w:val="00B66C74"/>
    <w:rsid w:val="00B7199F"/>
    <w:rsid w:val="00B75EE4"/>
    <w:rsid w:val="00B76C31"/>
    <w:rsid w:val="00B802AE"/>
    <w:rsid w:val="00BA0380"/>
    <w:rsid w:val="00BB3EE3"/>
    <w:rsid w:val="00BC152C"/>
    <w:rsid w:val="00BC1EBF"/>
    <w:rsid w:val="00BE7D1D"/>
    <w:rsid w:val="00BF71F9"/>
    <w:rsid w:val="00C11013"/>
    <w:rsid w:val="00C14E09"/>
    <w:rsid w:val="00C17394"/>
    <w:rsid w:val="00C17CE4"/>
    <w:rsid w:val="00C269FF"/>
    <w:rsid w:val="00C33FC5"/>
    <w:rsid w:val="00C374F8"/>
    <w:rsid w:val="00C405E4"/>
    <w:rsid w:val="00C50AE8"/>
    <w:rsid w:val="00C532A7"/>
    <w:rsid w:val="00C61878"/>
    <w:rsid w:val="00C61C9E"/>
    <w:rsid w:val="00C635A2"/>
    <w:rsid w:val="00C64CC6"/>
    <w:rsid w:val="00C65B0B"/>
    <w:rsid w:val="00C748F4"/>
    <w:rsid w:val="00C93669"/>
    <w:rsid w:val="00CA6530"/>
    <w:rsid w:val="00CA6D3E"/>
    <w:rsid w:val="00CB316F"/>
    <w:rsid w:val="00CD03B3"/>
    <w:rsid w:val="00CD092A"/>
    <w:rsid w:val="00CD53B2"/>
    <w:rsid w:val="00CD7714"/>
    <w:rsid w:val="00CE5E84"/>
    <w:rsid w:val="00CF12FD"/>
    <w:rsid w:val="00CF2F2E"/>
    <w:rsid w:val="00CF52B9"/>
    <w:rsid w:val="00CF7D75"/>
    <w:rsid w:val="00D12098"/>
    <w:rsid w:val="00D20414"/>
    <w:rsid w:val="00D22513"/>
    <w:rsid w:val="00D2762A"/>
    <w:rsid w:val="00D276DC"/>
    <w:rsid w:val="00D33232"/>
    <w:rsid w:val="00D34468"/>
    <w:rsid w:val="00D4546D"/>
    <w:rsid w:val="00D46C44"/>
    <w:rsid w:val="00D50B22"/>
    <w:rsid w:val="00D6285D"/>
    <w:rsid w:val="00D715C9"/>
    <w:rsid w:val="00D7366F"/>
    <w:rsid w:val="00D84D23"/>
    <w:rsid w:val="00D879FE"/>
    <w:rsid w:val="00D90020"/>
    <w:rsid w:val="00D94FF9"/>
    <w:rsid w:val="00D95464"/>
    <w:rsid w:val="00D95FF8"/>
    <w:rsid w:val="00DB5A0E"/>
    <w:rsid w:val="00DC0914"/>
    <w:rsid w:val="00DC1AC8"/>
    <w:rsid w:val="00DC7E3D"/>
    <w:rsid w:val="00DD3470"/>
    <w:rsid w:val="00DE32FF"/>
    <w:rsid w:val="00DE3F24"/>
    <w:rsid w:val="00DE63CD"/>
    <w:rsid w:val="00DE68AC"/>
    <w:rsid w:val="00DF6833"/>
    <w:rsid w:val="00E02DF6"/>
    <w:rsid w:val="00E05373"/>
    <w:rsid w:val="00E057D6"/>
    <w:rsid w:val="00E060C4"/>
    <w:rsid w:val="00E07A6F"/>
    <w:rsid w:val="00E1040A"/>
    <w:rsid w:val="00E23907"/>
    <w:rsid w:val="00E25735"/>
    <w:rsid w:val="00E3721A"/>
    <w:rsid w:val="00E44379"/>
    <w:rsid w:val="00E455D4"/>
    <w:rsid w:val="00E4726C"/>
    <w:rsid w:val="00E56443"/>
    <w:rsid w:val="00E56790"/>
    <w:rsid w:val="00E63DBD"/>
    <w:rsid w:val="00E7451D"/>
    <w:rsid w:val="00E74C25"/>
    <w:rsid w:val="00E82BC5"/>
    <w:rsid w:val="00EA0DF8"/>
    <w:rsid w:val="00EA4A1A"/>
    <w:rsid w:val="00EA7111"/>
    <w:rsid w:val="00EB0159"/>
    <w:rsid w:val="00EB18AD"/>
    <w:rsid w:val="00EB2647"/>
    <w:rsid w:val="00EB2965"/>
    <w:rsid w:val="00EB53C8"/>
    <w:rsid w:val="00EC17AD"/>
    <w:rsid w:val="00ED0E39"/>
    <w:rsid w:val="00ED1B8A"/>
    <w:rsid w:val="00ED7D9B"/>
    <w:rsid w:val="00EE5399"/>
    <w:rsid w:val="00EF0CAC"/>
    <w:rsid w:val="00EF17D8"/>
    <w:rsid w:val="00EF24FE"/>
    <w:rsid w:val="00EF763F"/>
    <w:rsid w:val="00F003B2"/>
    <w:rsid w:val="00F0059B"/>
    <w:rsid w:val="00F16882"/>
    <w:rsid w:val="00F213E6"/>
    <w:rsid w:val="00F24A53"/>
    <w:rsid w:val="00F24E75"/>
    <w:rsid w:val="00F33857"/>
    <w:rsid w:val="00F40496"/>
    <w:rsid w:val="00F42167"/>
    <w:rsid w:val="00F42742"/>
    <w:rsid w:val="00F46D22"/>
    <w:rsid w:val="00F52005"/>
    <w:rsid w:val="00F604C4"/>
    <w:rsid w:val="00F77A91"/>
    <w:rsid w:val="00F86ADB"/>
    <w:rsid w:val="00F9000E"/>
    <w:rsid w:val="00F951F6"/>
    <w:rsid w:val="00FA0F48"/>
    <w:rsid w:val="00FA4696"/>
    <w:rsid w:val="00FA5480"/>
    <w:rsid w:val="00FA710C"/>
    <w:rsid w:val="00FB56D1"/>
    <w:rsid w:val="00FC243B"/>
    <w:rsid w:val="00FC321F"/>
    <w:rsid w:val="00FC32EE"/>
    <w:rsid w:val="00FC7F70"/>
    <w:rsid w:val="00FD39E5"/>
    <w:rsid w:val="00FF1A5E"/>
    <w:rsid w:val="00FF33D5"/>
    <w:rsid w:val="00FF59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E406BE"/>
  <w15:chartTrackingRefBased/>
  <w15:docId w15:val="{2A5FCB38-5CBE-4BBC-8CD2-78FBB3D6D5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4F27"/>
  </w:style>
  <w:style w:type="paragraph" w:styleId="Heading1">
    <w:name w:val="heading 1"/>
    <w:basedOn w:val="Normal"/>
    <w:next w:val="Normal"/>
    <w:qFormat/>
    <w:rsid w:val="00AB4F27"/>
    <w:pPr>
      <w:keepNext/>
      <w:outlineLvl w:val="0"/>
    </w:pPr>
    <w:rPr>
      <w:vanish/>
    </w:rPr>
  </w:style>
  <w:style w:type="character" w:default="1" w:styleId="DefaultParagraphFont">
    <w:name w:val="Default Paragraph Font"/>
    <w:semiHidden/>
    <w:rsid w:val="00AB4F27"/>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semiHidden/>
    <w:rsid w:val="00AB4F27"/>
  </w:style>
  <w:style w:type="paragraph" w:styleId="Header">
    <w:name w:val="header"/>
    <w:basedOn w:val="Normal"/>
    <w:rsid w:val="00AB4F27"/>
    <w:pPr>
      <w:tabs>
        <w:tab w:val="center" w:pos="4320"/>
        <w:tab w:val="right" w:pos="8640"/>
      </w:tabs>
    </w:pPr>
  </w:style>
  <w:style w:type="paragraph" w:styleId="Footer">
    <w:name w:val="footer"/>
    <w:basedOn w:val="Normal"/>
    <w:rsid w:val="00AB4F27"/>
    <w:pPr>
      <w:tabs>
        <w:tab w:val="center" w:pos="4320"/>
        <w:tab w:val="right" w:pos="8640"/>
      </w:tabs>
    </w:pPr>
  </w:style>
  <w:style w:type="paragraph" w:customStyle="1" w:styleId="a">
    <w:name w:val="(a)."/>
    <w:basedOn w:val="Text"/>
    <w:rsid w:val="00AB4F27"/>
    <w:pPr>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7"/>
        <w:tab w:val="clear" w:pos="4867"/>
        <w:tab w:val="left" w:pos="1267"/>
        <w:tab w:val="left" w:pos="4500"/>
        <w:tab w:val="left" w:pos="4860"/>
        <w:tab w:val="left" w:pos="5040"/>
        <w:tab w:val="left" w:pos="7200"/>
      </w:tabs>
      <w:spacing w:line="240" w:lineRule="auto"/>
      <w:ind w:firstLine="907"/>
      <w:outlineLvl w:val="7"/>
    </w:pPr>
  </w:style>
  <w:style w:type="paragraph" w:customStyle="1" w:styleId="Text">
    <w:name w:val="Text"/>
    <w:basedOn w:val="Normal"/>
    <w:rsid w:val="00AB4F2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7"/>
        <w:tab w:val="left" w:pos="4680"/>
        <w:tab w:val="left" w:pos="4867"/>
      </w:tabs>
      <w:spacing w:line="240" w:lineRule="exact"/>
      <w:ind w:firstLine="187"/>
      <w:jc w:val="both"/>
      <w:outlineLvl w:val="3"/>
    </w:pPr>
    <w:rPr>
      <w:kern w:val="2"/>
    </w:rPr>
  </w:style>
  <w:style w:type="paragraph" w:customStyle="1" w:styleId="i">
    <w:name w:val="(i)."/>
    <w:basedOn w:val="Normal"/>
    <w:rsid w:val="00AB4F27"/>
    <w:pPr>
      <w:tabs>
        <w:tab w:val="decimal" w:pos="1440"/>
        <w:tab w:val="left" w:pos="1728"/>
      </w:tabs>
      <w:jc w:val="both"/>
      <w:outlineLvl w:val="8"/>
    </w:pPr>
    <w:rPr>
      <w:kern w:val="2"/>
    </w:rPr>
  </w:style>
  <w:style w:type="paragraph" w:customStyle="1" w:styleId="1">
    <w:name w:val="1."/>
    <w:basedOn w:val="Normal"/>
    <w:rsid w:val="00AB4F27"/>
    <w:pPr>
      <w:tabs>
        <w:tab w:val="left" w:pos="720"/>
        <w:tab w:val="left" w:pos="979"/>
        <w:tab w:val="left" w:pos="1152"/>
      </w:tabs>
      <w:ind w:firstLine="360"/>
      <w:jc w:val="both"/>
      <w:outlineLvl w:val="4"/>
    </w:pPr>
    <w:rPr>
      <w:kern w:val="2"/>
    </w:rPr>
  </w:style>
  <w:style w:type="paragraph" w:customStyle="1" w:styleId="A0">
    <w:name w:val="A."/>
    <w:basedOn w:val="Normal"/>
    <w:rsid w:val="00AB4F27"/>
    <w:pPr>
      <w:tabs>
        <w:tab w:val="left" w:pos="144"/>
        <w:tab w:val="left" w:pos="187"/>
        <w:tab w:val="left" w:pos="540"/>
        <w:tab w:val="left" w:pos="907"/>
        <w:tab w:val="left" w:pos="1080"/>
      </w:tabs>
      <w:ind w:firstLine="187"/>
      <w:jc w:val="both"/>
      <w:outlineLvl w:val="3"/>
    </w:pPr>
    <w:rPr>
      <w:kern w:val="2"/>
    </w:rPr>
  </w:style>
  <w:style w:type="paragraph" w:customStyle="1" w:styleId="a1">
    <w:name w:val="a."/>
    <w:basedOn w:val="Normal"/>
    <w:rsid w:val="00AB4F27"/>
    <w:pPr>
      <w:tabs>
        <w:tab w:val="left" w:pos="907"/>
      </w:tabs>
      <w:ind w:firstLine="547"/>
      <w:jc w:val="both"/>
      <w:outlineLvl w:val="5"/>
    </w:pPr>
    <w:rPr>
      <w:kern w:val="2"/>
    </w:rPr>
  </w:style>
  <w:style w:type="paragraph" w:customStyle="1" w:styleId="AuthorityNote">
    <w:name w:val="Authority Note"/>
    <w:basedOn w:val="Normal"/>
    <w:rsid w:val="00AB4F2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pPr>
    <w:rPr>
      <w:kern w:val="2"/>
      <w:sz w:val="18"/>
    </w:rPr>
  </w:style>
  <w:style w:type="paragraph" w:customStyle="1" w:styleId="Chapter">
    <w:name w:val="Chapter"/>
    <w:basedOn w:val="Normal"/>
    <w:rsid w:val="00AB4F27"/>
    <w:pPr>
      <w:keepNext/>
      <w:keepLines/>
      <w:tabs>
        <w:tab w:val="left" w:pos="0"/>
        <w:tab w:val="left" w:pos="180"/>
        <w:tab w:val="left" w:pos="216"/>
        <w:tab w:val="left" w:pos="360"/>
        <w:tab w:val="left" w:pos="540"/>
        <w:tab w:val="left" w:pos="720"/>
        <w:tab w:val="left" w:pos="900"/>
        <w:tab w:val="left" w:pos="1296"/>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left="1296" w:hanging="1296"/>
      <w:outlineLvl w:val="1"/>
    </w:pPr>
    <w:rPr>
      <w:b/>
      <w:kern w:val="2"/>
    </w:rPr>
  </w:style>
  <w:style w:type="paragraph" w:customStyle="1" w:styleId="FooterEven">
    <w:name w:val="FooterEven"/>
    <w:basedOn w:val="Footer"/>
    <w:rsid w:val="00AB4F27"/>
    <w:pPr>
      <w:tabs>
        <w:tab w:val="clear" w:pos="8640"/>
        <w:tab w:val="right" w:pos="4320"/>
      </w:tabs>
      <w:spacing w:before="60"/>
    </w:pPr>
    <w:rPr>
      <w:rFonts w:ascii="Arial" w:hAnsi="Arial"/>
      <w:i/>
      <w:sz w:val="16"/>
    </w:rPr>
  </w:style>
  <w:style w:type="paragraph" w:customStyle="1" w:styleId="FooterOdd">
    <w:name w:val="FooterOdd"/>
    <w:basedOn w:val="Footer"/>
    <w:rsid w:val="00AB4F27"/>
    <w:pPr>
      <w:tabs>
        <w:tab w:val="clear" w:pos="4320"/>
        <w:tab w:val="clear" w:pos="8640"/>
        <w:tab w:val="left" w:pos="6030"/>
        <w:tab w:val="right" w:pos="10440"/>
      </w:tabs>
      <w:spacing w:before="60"/>
      <w:jc w:val="right"/>
    </w:pPr>
    <w:rPr>
      <w:rFonts w:ascii="Arial" w:hAnsi="Arial"/>
      <w:i/>
      <w:sz w:val="16"/>
    </w:rPr>
  </w:style>
  <w:style w:type="paragraph" w:customStyle="1" w:styleId="HistoricalNote">
    <w:name w:val="Historical Note"/>
    <w:basedOn w:val="Normal"/>
    <w:rsid w:val="00AB4F2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pPr>
    <w:rPr>
      <w:kern w:val="2"/>
      <w:sz w:val="18"/>
    </w:rPr>
  </w:style>
  <w:style w:type="paragraph" w:customStyle="1" w:styleId="i0">
    <w:name w:val="i."/>
    <w:basedOn w:val="Text"/>
    <w:rsid w:val="00AB4F27"/>
    <w:pPr>
      <w:tabs>
        <w:tab w:val="clear" w:pos="0"/>
        <w:tab w:val="clear" w:pos="180"/>
        <w:tab w:val="clear" w:pos="360"/>
        <w:tab w:val="clear" w:pos="540"/>
        <w:tab w:val="clear" w:pos="720"/>
        <w:tab w:val="clear" w:pos="90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7"/>
        <w:tab w:val="clear" w:pos="4867"/>
        <w:tab w:val="decimal" w:pos="806"/>
        <w:tab w:val="left" w:pos="4500"/>
        <w:tab w:val="left" w:pos="4860"/>
        <w:tab w:val="left" w:pos="5040"/>
        <w:tab w:val="left" w:pos="7200"/>
      </w:tabs>
      <w:spacing w:line="240" w:lineRule="auto"/>
      <w:ind w:firstLine="0"/>
      <w:outlineLvl w:val="5"/>
    </w:pPr>
  </w:style>
  <w:style w:type="paragraph" w:customStyle="1" w:styleId="LACNote">
    <w:name w:val="LACNote"/>
    <w:basedOn w:val="Normal"/>
    <w:rsid w:val="00AB4F27"/>
    <w:pPr>
      <w:spacing w:after="120"/>
      <w:ind w:firstLine="187"/>
      <w:jc w:val="both"/>
    </w:pPr>
    <w:rPr>
      <w:kern w:val="2"/>
      <w:sz w:val="16"/>
    </w:rPr>
  </w:style>
  <w:style w:type="character" w:styleId="PageNumber">
    <w:name w:val="page number"/>
    <w:rsid w:val="00AB4F27"/>
    <w:rPr>
      <w:rFonts w:ascii="Times New Roman" w:hAnsi="Times New Roman"/>
      <w:dstrike w:val="0"/>
      <w:color w:val="auto"/>
      <w:sz w:val="20"/>
      <w:vertAlign w:val="baseline"/>
    </w:rPr>
  </w:style>
  <w:style w:type="paragraph" w:customStyle="1" w:styleId="RegCodePart">
    <w:name w:val="Reg Code Part"/>
    <w:rsid w:val="00AB4F27"/>
    <w:pPr>
      <w:keepNext/>
      <w:jc w:val="center"/>
    </w:pPr>
    <w:rPr>
      <w:b/>
      <w:noProof/>
    </w:rPr>
  </w:style>
  <w:style w:type="paragraph" w:customStyle="1" w:styleId="RegFE1">
    <w:name w:val="Reg F&amp;E 1"/>
    <w:rsid w:val="00AB4F27"/>
    <w:pPr>
      <w:ind w:left="288" w:hanging="288"/>
      <w:jc w:val="both"/>
    </w:pPr>
    <w:rPr>
      <w:noProof/>
      <w:spacing w:val="-10"/>
      <w:sz w:val="18"/>
    </w:rPr>
  </w:style>
  <w:style w:type="paragraph" w:customStyle="1" w:styleId="RegFE2">
    <w:name w:val="Reg F&amp;E 2"/>
    <w:rsid w:val="00AB4F27"/>
    <w:pPr>
      <w:ind w:left="288" w:firstLine="288"/>
      <w:jc w:val="both"/>
    </w:pPr>
    <w:rPr>
      <w:noProof/>
      <w:sz w:val="18"/>
    </w:rPr>
  </w:style>
  <w:style w:type="paragraph" w:customStyle="1" w:styleId="Section">
    <w:name w:val="Section"/>
    <w:basedOn w:val="Normal"/>
    <w:rsid w:val="00AB4F27"/>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pPr>
    <w:rPr>
      <w:b/>
      <w:kern w:val="2"/>
    </w:rPr>
  </w:style>
  <w:style w:type="paragraph" w:customStyle="1" w:styleId="SubChapter">
    <w:name w:val="SubChapter"/>
    <w:basedOn w:val="Normal"/>
    <w:rsid w:val="00AB4F27"/>
    <w:pPr>
      <w:keepNext/>
      <w:keepLines/>
      <w:spacing w:after="120"/>
      <w:outlineLvl w:val="1"/>
    </w:pPr>
    <w:rPr>
      <w:sz w:val="28"/>
    </w:rPr>
  </w:style>
  <w:style w:type="paragraph" w:customStyle="1" w:styleId="RegCodeTitle">
    <w:name w:val="Reg Code Title"/>
    <w:basedOn w:val="Normal"/>
    <w:next w:val="Normal"/>
    <w:rsid w:val="00AB4F27"/>
    <w:pPr>
      <w:keepNext/>
      <w:jc w:val="center"/>
    </w:pPr>
    <w:rPr>
      <w:b/>
      <w:kern w:val="28"/>
    </w:rPr>
  </w:style>
  <w:style w:type="paragraph" w:customStyle="1" w:styleId="DD1">
    <w:name w:val="DD1"/>
    <w:rsid w:val="00AB4F27"/>
    <w:rPr>
      <w:noProof/>
    </w:rPr>
  </w:style>
  <w:style w:type="paragraph" w:customStyle="1" w:styleId="RegDepartment">
    <w:name w:val="Reg Department"/>
    <w:next w:val="RegSubDepartment"/>
    <w:rsid w:val="00AB4F27"/>
    <w:pPr>
      <w:keepNext/>
      <w:jc w:val="center"/>
    </w:pPr>
    <w:rPr>
      <w:b/>
      <w:noProof/>
    </w:rPr>
  </w:style>
  <w:style w:type="paragraph" w:customStyle="1" w:styleId="RegSubDepartment">
    <w:name w:val="Reg SubDepartment"/>
    <w:rsid w:val="00AB4F27"/>
    <w:pPr>
      <w:keepNext/>
      <w:spacing w:after="240"/>
      <w:jc w:val="center"/>
    </w:pPr>
    <w:rPr>
      <w:b/>
      <w:noProof/>
      <w:sz w:val="22"/>
    </w:rPr>
  </w:style>
  <w:style w:type="paragraph" w:customStyle="1" w:styleId="RegItemTitle">
    <w:name w:val="Reg Item Title"/>
    <w:rsid w:val="00AB4F27"/>
    <w:pPr>
      <w:keepNext/>
      <w:spacing w:after="240"/>
      <w:jc w:val="center"/>
    </w:pPr>
    <w:rPr>
      <w:noProof/>
    </w:rPr>
  </w:style>
  <w:style w:type="paragraph" w:customStyle="1" w:styleId="ExoA">
    <w:name w:val="Exo A."/>
    <w:basedOn w:val="Normal"/>
    <w:rsid w:val="00AB4F27"/>
    <w:pPr>
      <w:tabs>
        <w:tab w:val="left" w:pos="936"/>
      </w:tabs>
      <w:spacing w:line="240" w:lineRule="exact"/>
      <w:ind w:left="360" w:right="360" w:firstLine="187"/>
      <w:jc w:val="both"/>
    </w:pPr>
  </w:style>
  <w:style w:type="paragraph" w:customStyle="1" w:styleId="ExoNormal">
    <w:name w:val="Exo Normal"/>
    <w:rsid w:val="00AB4F27"/>
    <w:pPr>
      <w:tabs>
        <w:tab w:val="left" w:pos="1656"/>
      </w:tabs>
      <w:ind w:firstLine="360"/>
      <w:jc w:val="both"/>
    </w:pPr>
    <w:rPr>
      <w:noProof/>
    </w:rPr>
  </w:style>
  <w:style w:type="paragraph" w:customStyle="1" w:styleId="RegItemFirstLine">
    <w:name w:val="Reg Item First Line"/>
    <w:next w:val="RegDepartment"/>
    <w:rsid w:val="00AB4F27"/>
    <w:pPr>
      <w:keepNext/>
      <w:tabs>
        <w:tab w:val="left" w:pos="-1440"/>
      </w:tabs>
      <w:spacing w:after="120"/>
      <w:jc w:val="center"/>
    </w:pPr>
    <w:rPr>
      <w:b/>
      <w:noProof/>
    </w:rPr>
  </w:style>
  <w:style w:type="paragraph" w:customStyle="1" w:styleId="RegSignature">
    <w:name w:val="Reg Signature"/>
    <w:basedOn w:val="Normal"/>
    <w:rsid w:val="00AB4F27"/>
    <w:pPr>
      <w:keepNext/>
      <w:ind w:left="2160"/>
      <w:jc w:val="both"/>
    </w:pPr>
  </w:style>
  <w:style w:type="paragraph" w:customStyle="1" w:styleId="ExoSecOfState">
    <w:name w:val="Exo SecOfState"/>
    <w:rsid w:val="00AB4F27"/>
    <w:pPr>
      <w:keepNext/>
    </w:pPr>
    <w:rPr>
      <w:noProof/>
    </w:rPr>
  </w:style>
  <w:style w:type="paragraph" w:customStyle="1" w:styleId="RegDoubleIndent">
    <w:name w:val="Reg Double Indent"/>
    <w:rsid w:val="00AB4F27"/>
    <w:pPr>
      <w:ind w:left="432" w:right="432"/>
      <w:jc w:val="both"/>
    </w:pPr>
    <w:rPr>
      <w:noProof/>
    </w:rPr>
  </w:style>
  <w:style w:type="paragraph" w:customStyle="1" w:styleId="RegLogNumber">
    <w:name w:val="Reg Log Number"/>
    <w:rsid w:val="00AB4F27"/>
    <w:rPr>
      <w:noProof/>
      <w:sz w:val="16"/>
    </w:rPr>
  </w:style>
  <w:style w:type="paragraph" w:customStyle="1" w:styleId="RegSectionTitle">
    <w:name w:val="RegSectionTitle"/>
    <w:rsid w:val="00AB4F27"/>
    <w:pPr>
      <w:jc w:val="center"/>
    </w:pPr>
    <w:rPr>
      <w:rFonts w:ascii="Arial" w:hAnsi="Arial"/>
      <w:b/>
      <w:noProof/>
      <w:sz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M:\Registe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Register.dot</Template>
  <TotalTime>0</TotalTime>
  <Pages>1</Pages>
  <Words>600</Words>
  <Characters>3537</Characters>
  <Application>Microsoft Office Word</Application>
  <DocSecurity>8</DocSecurity>
  <Lines>120</Lines>
  <Paragraphs>37</Paragraphs>
  <ScaleCrop>false</ScaleCrop>
  <HeadingPairs>
    <vt:vector size="2" baseType="variant">
      <vt:variant>
        <vt:lpstr>Title</vt:lpstr>
      </vt:variant>
      <vt:variant>
        <vt:i4>1</vt:i4>
      </vt:variant>
    </vt:vector>
  </HeadingPairs>
  <TitlesOfParts>
    <vt:vector size="1" baseType="lpstr">
      <vt:lpstr/>
    </vt:vector>
  </TitlesOfParts>
  <Company>Division of Administration</Company>
  <LinksUpToDate>false</LinksUpToDate>
  <CharactersWithSpaces>4106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Meche</dc:creator>
  <cp:keywords/>
  <dc:description/>
  <cp:lastModifiedBy>Andrea Trantham</cp:lastModifiedBy>
  <cp:revision>2</cp:revision>
  <dcterms:created xsi:type="dcterms:W3CDTF">2026-02-19T21:19:00Z</dcterms:created>
  <dcterms:modified xsi:type="dcterms:W3CDTF">2026-02-19T21:19:00Z</dcterms:modified>
</cp:coreProperties>
</file>