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9264" behindDoc="0" locked="0" layoutInCell="1" allowOverlap="1" wp14:anchorId="0992AE49" wp14:editId="5B34D13A">
            <wp:simplePos x="0" y="0"/>
            <wp:positionH relativeFrom="margin">
              <wp:align>center</wp:align>
            </wp:positionH>
            <wp:positionV relativeFrom="paragraph">
              <wp:posOffset>-198657</wp:posOffset>
            </wp:positionV>
            <wp:extent cx="6007608" cy="1042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5BA754BF"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24</w:t>
      </w:r>
      <w:r w:rsidR="00864F3B" w:rsidRPr="00864F3B">
        <w:rPr>
          <w:rFonts w:ascii="Times New Roman" w:eastAsia="Times New Roman" w:hAnsi="Times New Roman" w:cs="Times New Roman"/>
          <w:b/>
          <w:bCs/>
          <w:smallCaps/>
          <w:color w:val="1F1F1F"/>
          <w:w w:val="105"/>
          <w:sz w:val="28"/>
          <w:szCs w:val="28"/>
        </w:rPr>
        <w:t>-</w:t>
      </w:r>
      <w:r w:rsidR="00362C56">
        <w:rPr>
          <w:rFonts w:ascii="Times New Roman" w:eastAsia="Times New Roman" w:hAnsi="Times New Roman" w:cs="Times New Roman"/>
          <w:b/>
          <w:bCs/>
          <w:smallCaps/>
          <w:color w:val="1F1F1F"/>
          <w:w w:val="105"/>
          <w:sz w:val="28"/>
          <w:szCs w:val="28"/>
        </w:rPr>
        <w:t>7</w:t>
      </w:r>
      <w:r w:rsidR="00E4710A">
        <w:rPr>
          <w:rFonts w:ascii="Times New Roman" w:eastAsia="Times New Roman" w:hAnsi="Times New Roman" w:cs="Times New Roman"/>
          <w:b/>
          <w:bCs/>
          <w:smallCaps/>
          <w:color w:val="1F1F1F"/>
          <w:w w:val="105"/>
          <w:sz w:val="28"/>
          <w:szCs w:val="28"/>
        </w:rPr>
        <w:t>9</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2021</w:t>
      </w:r>
      <w:r w:rsidR="00D022CB">
        <w:rPr>
          <w:rFonts w:ascii="Times New Roman" w:eastAsia="Calibri" w:hAnsi="Times New Roman" w:cs="Times New Roman"/>
          <w:bCs/>
          <w:sz w:val="24"/>
          <w:szCs w:val="24"/>
        </w:rPr>
        <w:t>;</w:t>
      </w:r>
    </w:p>
    <w:p w14:paraId="4ACC1D6C" w14:textId="25845B57"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24-</w:t>
      </w:r>
      <w:r w:rsidR="00362C56">
        <w:rPr>
          <w:rFonts w:ascii="Times New Roman" w:eastAsia="Calibri" w:hAnsi="Times New Roman" w:cs="Times New Roman"/>
          <w:bCs/>
          <w:sz w:val="24"/>
          <w:szCs w:val="24"/>
        </w:rPr>
        <w:t>65</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BC6CF5">
        <w:rPr>
          <w:rFonts w:ascii="Times New Roman" w:eastAsia="Calibri" w:hAnsi="Times New Roman"/>
          <w:bCs/>
          <w:sz w:val="24"/>
          <w:szCs w:val="24"/>
        </w:rPr>
        <w:t xml:space="preserve">Sunday, </w:t>
      </w:r>
      <w:r w:rsidR="00362C56">
        <w:rPr>
          <w:rFonts w:ascii="Times New Roman" w:eastAsia="Calibri" w:hAnsi="Times New Roman"/>
          <w:bCs/>
          <w:sz w:val="24"/>
          <w:szCs w:val="24"/>
        </w:rPr>
        <w:t>June</w:t>
      </w:r>
      <w:r w:rsidR="00BC6CF5">
        <w:rPr>
          <w:rFonts w:ascii="Times New Roman" w:eastAsia="Calibri" w:hAnsi="Times New Roman"/>
          <w:bCs/>
          <w:sz w:val="24"/>
          <w:szCs w:val="24"/>
        </w:rPr>
        <w:t xml:space="preserve"> </w:t>
      </w:r>
      <w:r w:rsidR="00362C56">
        <w:rPr>
          <w:rFonts w:ascii="Times New Roman" w:eastAsia="Calibri" w:hAnsi="Times New Roman" w:cs="Times New Roman"/>
          <w:bCs/>
          <w:sz w:val="24"/>
          <w:szCs w:val="24"/>
        </w:rPr>
        <w:t>9</w:t>
      </w:r>
      <w:r>
        <w:rPr>
          <w:rFonts w:ascii="Times New Roman" w:eastAsia="Calibri" w:hAnsi="Times New Roman" w:cs="Times New Roman"/>
          <w:bCs/>
          <w:sz w:val="24"/>
          <w:szCs w:val="24"/>
        </w:rPr>
        <w:t>, 2024;</w:t>
      </w:r>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ral Emergency Management Agency;</w:t>
      </w:r>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for all impacted parishes;</w:t>
      </w:r>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emergency;</w:t>
      </w:r>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operty in the state in jeopardy;</w:t>
      </w:r>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as a result of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3C900233"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035F68">
        <w:rPr>
          <w:rFonts w:ascii="Times New Roman" w:hAnsi="Times New Roman"/>
          <w:sz w:val="24"/>
          <w:szCs w:val="24"/>
        </w:rPr>
        <w:t xml:space="preserve">Friday, </w:t>
      </w:r>
      <w:r w:rsidR="00362C56">
        <w:rPr>
          <w:rFonts w:ascii="Times New Roman" w:hAnsi="Times New Roman"/>
          <w:sz w:val="24"/>
          <w:szCs w:val="24"/>
        </w:rPr>
        <w:t>June</w:t>
      </w:r>
      <w:r w:rsidR="00035F68">
        <w:rPr>
          <w:rFonts w:ascii="Times New Roman" w:hAnsi="Times New Roman"/>
          <w:sz w:val="24"/>
          <w:szCs w:val="24"/>
        </w:rPr>
        <w:t xml:space="preserve"> </w:t>
      </w:r>
      <w:r w:rsidR="00362C56">
        <w:rPr>
          <w:rFonts w:ascii="Times New Roman" w:hAnsi="Times New Roman"/>
          <w:sz w:val="24"/>
          <w:szCs w:val="24"/>
        </w:rPr>
        <w:t>7</w:t>
      </w:r>
      <w:r w:rsidR="00035F68">
        <w:rPr>
          <w:rFonts w:ascii="Times New Roman" w:hAnsi="Times New Roman"/>
          <w:sz w:val="24"/>
          <w:szCs w:val="24"/>
        </w:rPr>
        <w:t xml:space="preserve">, 2024 to Sunday, </w:t>
      </w:r>
      <w:r w:rsidR="00362C56">
        <w:rPr>
          <w:rFonts w:ascii="Times New Roman" w:hAnsi="Times New Roman"/>
          <w:sz w:val="24"/>
          <w:szCs w:val="24"/>
        </w:rPr>
        <w:t>July</w:t>
      </w:r>
      <w:r w:rsidR="00035F68">
        <w:rPr>
          <w:rFonts w:ascii="Times New Roman" w:hAnsi="Times New Roman"/>
          <w:sz w:val="24"/>
          <w:szCs w:val="24"/>
        </w:rPr>
        <w:t xml:space="preserve"> </w:t>
      </w:r>
      <w:r w:rsidR="00362C56">
        <w:rPr>
          <w:rFonts w:ascii="Times New Roman" w:hAnsi="Times New Roman"/>
          <w:sz w:val="24"/>
          <w:szCs w:val="24"/>
        </w:rPr>
        <w:t>7</w:t>
      </w:r>
      <w:r w:rsidR="00035F68">
        <w:rPr>
          <w:rFonts w:ascii="Times New Roman" w:hAnsi="Times New Roman"/>
          <w:sz w:val="24"/>
          <w:szCs w:val="24"/>
        </w:rPr>
        <w:t>, 2024</w:t>
      </w:r>
      <w:r>
        <w:rPr>
          <w:rFonts w:ascii="Times New Roman" w:hAnsi="Times New Roman"/>
          <w:sz w:val="24"/>
          <w:szCs w:val="24"/>
        </w:rPr>
        <w:t>, unless amended, modified, or terminated sooner.</w:t>
      </w:r>
    </w:p>
    <w:p w14:paraId="7BB1404E" w14:textId="77777777" w:rsidR="00362C56" w:rsidRPr="003B356F" w:rsidRDefault="00362C56" w:rsidP="003B356F">
      <w:pPr>
        <w:autoSpaceDE w:val="0"/>
        <w:autoSpaceDN w:val="0"/>
        <w:adjustRightInd w:val="0"/>
        <w:spacing w:after="0" w:line="480" w:lineRule="auto"/>
        <w:ind w:firstLine="720"/>
        <w:jc w:val="both"/>
        <w:rPr>
          <w:rFonts w:ascii="Times New Roman" w:hAnsi="Times New Roman"/>
          <w:sz w:val="24"/>
          <w:szCs w:val="24"/>
        </w:rPr>
      </w:pPr>
    </w:p>
    <w:p w14:paraId="447FD215" w14:textId="7E4873D1"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to be affixed the Great Seal of Louisiana in the City of Baton Rouge, on this </w:t>
      </w:r>
      <w:r w:rsidR="00362C56">
        <w:rPr>
          <w:rFonts w:ascii="Times New Roman" w:eastAsia="Times New Roman" w:hAnsi="Times New Roman" w:cs="Times New Roman"/>
          <w:sz w:val="24"/>
          <w:szCs w:val="24"/>
        </w:rPr>
        <w:t>7</w:t>
      </w:r>
      <w:r w:rsidR="00362C56" w:rsidRPr="00362C56">
        <w:rPr>
          <w:rFonts w:ascii="Times New Roman" w:eastAsia="Times New Roman" w:hAnsi="Times New Roman" w:cs="Times New Roman"/>
          <w:sz w:val="24"/>
          <w:szCs w:val="24"/>
          <w:vertAlign w:val="superscript"/>
        </w:rPr>
        <w:t>th</w:t>
      </w:r>
      <w:r w:rsidR="00362C56">
        <w:rPr>
          <w:rFonts w:ascii="Times New Roman" w:eastAsia="Times New Roman" w:hAnsi="Times New Roman" w:cs="Times New Roman"/>
          <w:sz w:val="24"/>
          <w:szCs w:val="24"/>
        </w:rPr>
        <w:t xml:space="preserve"> </w:t>
      </w:r>
      <w:r w:rsidRPr="001712B5">
        <w:rPr>
          <w:rFonts w:ascii="Times New Roman" w:eastAsia="Times New Roman" w:hAnsi="Times New Roman" w:cs="Times New Roman"/>
          <w:sz w:val="24"/>
          <w:szCs w:val="24"/>
        </w:rPr>
        <w:t>day of</w:t>
      </w:r>
      <w:r w:rsidR="00A86095" w:rsidRPr="001712B5">
        <w:rPr>
          <w:rFonts w:ascii="Times New Roman" w:eastAsia="Times New Roman" w:hAnsi="Times New Roman" w:cs="Times New Roman"/>
          <w:sz w:val="24"/>
          <w:szCs w:val="24"/>
        </w:rPr>
        <w:t xml:space="preserve"> </w:t>
      </w:r>
      <w:r w:rsidR="00362C56">
        <w:rPr>
          <w:rFonts w:ascii="Times New Roman" w:eastAsia="Times New Roman" w:hAnsi="Times New Roman" w:cs="Times New Roman"/>
          <w:sz w:val="24"/>
          <w:szCs w:val="24"/>
        </w:rPr>
        <w:t>June</w:t>
      </w:r>
      <w:r w:rsidR="007E7DA1" w:rsidRPr="001712B5">
        <w:rPr>
          <w:rFonts w:ascii="Times New Roman" w:eastAsia="Times New Roman" w:hAnsi="Times New Roman" w:cs="Times New Roman"/>
          <w:sz w:val="24"/>
          <w:szCs w:val="24"/>
        </w:rPr>
        <w:t xml:space="preserve"> </w:t>
      </w:r>
      <w:r w:rsidRPr="001712B5">
        <w:rPr>
          <w:rFonts w:ascii="Times New Roman" w:eastAsia="Times New Roman" w:hAnsi="Times New Roman" w:cs="Times New Roman"/>
          <w:sz w:val="24"/>
          <w:szCs w:val="24"/>
        </w:rPr>
        <w:t>202</w:t>
      </w:r>
      <w:r w:rsidR="009A2451" w:rsidRPr="001712B5">
        <w:rPr>
          <w:rFonts w:ascii="Times New Roman" w:eastAsia="Times New Roman" w:hAnsi="Times New Roman" w:cs="Times New Roman"/>
          <w:sz w:val="24"/>
          <w:szCs w:val="24"/>
        </w:rPr>
        <w:t>4</w:t>
      </w:r>
      <w:r w:rsidRPr="001712B5">
        <w:rPr>
          <w:rFonts w:ascii="Times New Roman" w:eastAsia="Times New Roman" w:hAnsi="Times New Roman" w:cs="Times New Roman"/>
          <w:sz w:val="24"/>
          <w:szCs w:val="24"/>
        </w:rPr>
        <w:t>.</w:t>
      </w:r>
    </w:p>
    <w:p w14:paraId="76AB57ED"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659194F" w14:textId="77777777"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432CA911" w14:textId="77777777"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35EC1F3"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054359C7" w14:textId="77777777"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14:paraId="03D7DA40"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77777777"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49FF"/>
    <w:rsid w:val="00035F68"/>
    <w:rsid w:val="00054EE7"/>
    <w:rsid w:val="00056C0D"/>
    <w:rsid w:val="00057513"/>
    <w:rsid w:val="000808DE"/>
    <w:rsid w:val="00086C87"/>
    <w:rsid w:val="000A039B"/>
    <w:rsid w:val="000E0B84"/>
    <w:rsid w:val="00123574"/>
    <w:rsid w:val="00130E1F"/>
    <w:rsid w:val="001629D4"/>
    <w:rsid w:val="001712B5"/>
    <w:rsid w:val="00187E2C"/>
    <w:rsid w:val="001B141F"/>
    <w:rsid w:val="00207369"/>
    <w:rsid w:val="00216B97"/>
    <w:rsid w:val="00217BB6"/>
    <w:rsid w:val="00242D24"/>
    <w:rsid w:val="00245F73"/>
    <w:rsid w:val="00247B1E"/>
    <w:rsid w:val="00261223"/>
    <w:rsid w:val="002C44CC"/>
    <w:rsid w:val="002C7E7F"/>
    <w:rsid w:val="002D2303"/>
    <w:rsid w:val="002D3523"/>
    <w:rsid w:val="002D7A3C"/>
    <w:rsid w:val="002F5567"/>
    <w:rsid w:val="002F6C70"/>
    <w:rsid w:val="00313785"/>
    <w:rsid w:val="0032059E"/>
    <w:rsid w:val="00333029"/>
    <w:rsid w:val="0034345C"/>
    <w:rsid w:val="00357A25"/>
    <w:rsid w:val="00362C56"/>
    <w:rsid w:val="003651E7"/>
    <w:rsid w:val="00385F8D"/>
    <w:rsid w:val="00397028"/>
    <w:rsid w:val="003A335E"/>
    <w:rsid w:val="003B0658"/>
    <w:rsid w:val="003B356F"/>
    <w:rsid w:val="003C5E20"/>
    <w:rsid w:val="003D0F62"/>
    <w:rsid w:val="00416A5A"/>
    <w:rsid w:val="00417452"/>
    <w:rsid w:val="00454289"/>
    <w:rsid w:val="004A4CEF"/>
    <w:rsid w:val="004D4816"/>
    <w:rsid w:val="00504372"/>
    <w:rsid w:val="00514C0A"/>
    <w:rsid w:val="00546D86"/>
    <w:rsid w:val="00561C7A"/>
    <w:rsid w:val="005938AB"/>
    <w:rsid w:val="005B7AA0"/>
    <w:rsid w:val="005F1C0D"/>
    <w:rsid w:val="00645223"/>
    <w:rsid w:val="006577E1"/>
    <w:rsid w:val="0066101E"/>
    <w:rsid w:val="00674D43"/>
    <w:rsid w:val="00677354"/>
    <w:rsid w:val="00684F47"/>
    <w:rsid w:val="00685963"/>
    <w:rsid w:val="00686D29"/>
    <w:rsid w:val="006935C6"/>
    <w:rsid w:val="00693EC8"/>
    <w:rsid w:val="006D647B"/>
    <w:rsid w:val="006F1048"/>
    <w:rsid w:val="00706D17"/>
    <w:rsid w:val="00707EC6"/>
    <w:rsid w:val="007240BC"/>
    <w:rsid w:val="00737336"/>
    <w:rsid w:val="00757678"/>
    <w:rsid w:val="00783A35"/>
    <w:rsid w:val="00793F00"/>
    <w:rsid w:val="007E7DA1"/>
    <w:rsid w:val="00801AB5"/>
    <w:rsid w:val="0080472E"/>
    <w:rsid w:val="008064D5"/>
    <w:rsid w:val="0084054B"/>
    <w:rsid w:val="008522C0"/>
    <w:rsid w:val="00854C23"/>
    <w:rsid w:val="00860E07"/>
    <w:rsid w:val="00864F3B"/>
    <w:rsid w:val="0087398B"/>
    <w:rsid w:val="00875BD0"/>
    <w:rsid w:val="0087686A"/>
    <w:rsid w:val="008872C5"/>
    <w:rsid w:val="008C0C49"/>
    <w:rsid w:val="008D7066"/>
    <w:rsid w:val="008F5C6E"/>
    <w:rsid w:val="0090658C"/>
    <w:rsid w:val="00930BC1"/>
    <w:rsid w:val="0093247A"/>
    <w:rsid w:val="00937DCD"/>
    <w:rsid w:val="00941508"/>
    <w:rsid w:val="00951D23"/>
    <w:rsid w:val="009A2451"/>
    <w:rsid w:val="009D08AC"/>
    <w:rsid w:val="009D1043"/>
    <w:rsid w:val="009D1A7A"/>
    <w:rsid w:val="009D73A4"/>
    <w:rsid w:val="009E7EE0"/>
    <w:rsid w:val="00A024B8"/>
    <w:rsid w:val="00A05216"/>
    <w:rsid w:val="00A41516"/>
    <w:rsid w:val="00A479BB"/>
    <w:rsid w:val="00A64143"/>
    <w:rsid w:val="00A679CC"/>
    <w:rsid w:val="00A86095"/>
    <w:rsid w:val="00A86EDC"/>
    <w:rsid w:val="00AA338D"/>
    <w:rsid w:val="00AB6AFE"/>
    <w:rsid w:val="00AD01DE"/>
    <w:rsid w:val="00AF78B9"/>
    <w:rsid w:val="00B342B7"/>
    <w:rsid w:val="00B40D14"/>
    <w:rsid w:val="00B46785"/>
    <w:rsid w:val="00B60F98"/>
    <w:rsid w:val="00B759BA"/>
    <w:rsid w:val="00B9699F"/>
    <w:rsid w:val="00BB7F08"/>
    <w:rsid w:val="00BC4AC8"/>
    <w:rsid w:val="00BC6CF5"/>
    <w:rsid w:val="00BE6B6F"/>
    <w:rsid w:val="00BE7F6D"/>
    <w:rsid w:val="00C3236D"/>
    <w:rsid w:val="00C46F34"/>
    <w:rsid w:val="00C97E05"/>
    <w:rsid w:val="00CD44C3"/>
    <w:rsid w:val="00CE40F1"/>
    <w:rsid w:val="00CF2197"/>
    <w:rsid w:val="00CF5EDF"/>
    <w:rsid w:val="00D022CB"/>
    <w:rsid w:val="00D618DF"/>
    <w:rsid w:val="00D71EC9"/>
    <w:rsid w:val="00D80326"/>
    <w:rsid w:val="00D80667"/>
    <w:rsid w:val="00D966EC"/>
    <w:rsid w:val="00DC499C"/>
    <w:rsid w:val="00DD47E8"/>
    <w:rsid w:val="00DE2D47"/>
    <w:rsid w:val="00E04937"/>
    <w:rsid w:val="00E33813"/>
    <w:rsid w:val="00E4710A"/>
    <w:rsid w:val="00E50A2A"/>
    <w:rsid w:val="00E53FBB"/>
    <w:rsid w:val="00E56353"/>
    <w:rsid w:val="00E76B15"/>
    <w:rsid w:val="00EC07A3"/>
    <w:rsid w:val="00ED20BD"/>
    <w:rsid w:val="00EE3D06"/>
    <w:rsid w:val="00F33490"/>
    <w:rsid w:val="00F60A90"/>
    <w:rsid w:val="00F7593F"/>
    <w:rsid w:val="00F803BF"/>
    <w:rsid w:val="00F8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Monica Reed (Governor's Office)</cp:lastModifiedBy>
  <cp:revision>4</cp:revision>
  <cp:lastPrinted>2024-05-09T20:15:00Z</cp:lastPrinted>
  <dcterms:created xsi:type="dcterms:W3CDTF">2024-06-05T15:03:00Z</dcterms:created>
  <dcterms:modified xsi:type="dcterms:W3CDTF">2024-06-05T18:39:00Z</dcterms:modified>
</cp:coreProperties>
</file>