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C4" w:rsidRPr="003C1E68" w:rsidRDefault="002D2A0B" w:rsidP="00C01041">
      <w:pPr>
        <w:rPr>
          <w:rFonts w:ascii="Times New Roman" w:hAnsi="Times New Roman" w:cs="Times New Roman"/>
          <w:b/>
          <w:sz w:val="36"/>
          <w:u w:val="single"/>
        </w:rPr>
      </w:pPr>
      <w:r w:rsidRPr="003C1E68">
        <w:rPr>
          <w:rFonts w:ascii="Times New Roman" w:hAnsi="Times New Roman" w:cs="Times New Roman"/>
          <w:b/>
          <w:sz w:val="36"/>
          <w:u w:val="single"/>
        </w:rPr>
        <w:t>LIST OF ELIGIBLE ACTIVITIES</w:t>
      </w:r>
      <w:r w:rsidR="00F0446B" w:rsidRPr="003C1E68">
        <w:rPr>
          <w:rFonts w:ascii="Times New Roman" w:hAnsi="Times New Roman" w:cs="Times New Roman"/>
          <w:b/>
          <w:sz w:val="36"/>
          <w:u w:val="single"/>
        </w:rPr>
        <w:t xml:space="preserve"> - MOVING</w:t>
      </w:r>
    </w:p>
    <w:p w:rsidR="00BD6EC4" w:rsidRPr="003C1E68" w:rsidRDefault="00F0446B" w:rsidP="00C01041">
      <w:pPr>
        <w:rPr>
          <w:rFonts w:ascii="Times New Roman" w:hAnsi="Times New Roman" w:cs="Times New Roman"/>
          <w:b/>
          <w:sz w:val="24"/>
          <w:szCs w:val="24"/>
        </w:rPr>
      </w:pPr>
      <w:r w:rsidRPr="003C1E68">
        <w:rPr>
          <w:rFonts w:ascii="Times New Roman" w:hAnsi="Times New Roman" w:cs="Times New Roman"/>
          <w:b/>
          <w:sz w:val="24"/>
          <w:szCs w:val="24"/>
        </w:rPr>
        <w:t xml:space="preserve">Eligible: </w:t>
      </w:r>
    </w:p>
    <w:p w:rsidR="00BD6EC4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Transportation of the displaced person and personal property. (This may include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reimbursement at the current mileage rate for personally owned vehicles that need to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be moved). Transportation costs for a distance beyond 50 miles are not eligible,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unless the Agency determines that relocation beyond 50 miles is justified.</w:t>
      </w:r>
    </w:p>
    <w:p w:rsidR="00F0446B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Packing, crating, uncrating and unpacking of the personal property.</w:t>
      </w:r>
    </w:p>
    <w:p w:rsidR="00BD6EC4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Storage of the personal property for a period not to exceed 12 months, unless the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Agency determines that a longer period is necessary.</w:t>
      </w:r>
    </w:p>
    <w:p w:rsidR="00BD6EC4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Disconnecting, dismantling, removing, reassembling, and reinstalling relocated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household appliances, and other personal property.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Insurance for the replacement value of the property in connection with the move and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necessary storage.</w:t>
      </w:r>
    </w:p>
    <w:p w:rsidR="00BD6EC4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The replacement value of property lost, stolen, or damaged in the process of moving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(not through the fault or negligence of the displaced person, his or her agent, or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employee) where insurance covering such loss, theft or damage is not reasonably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available.</w:t>
      </w:r>
    </w:p>
    <w:p w:rsidR="00BD6EC4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Credit checks.</w:t>
      </w:r>
    </w:p>
    <w:p w:rsidR="00BD6EC4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Utility hook-ups, including reinstallation of telephone and cable service.</w:t>
      </w:r>
    </w:p>
    <w:p w:rsidR="00F0446B" w:rsidRPr="00354BC4" w:rsidRDefault="00BD6EC4" w:rsidP="00354BC4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Other costs as determined by the agency to be reasonable and necessary.</w:t>
      </w:r>
    </w:p>
    <w:p w:rsidR="00F0446B" w:rsidRPr="00354BC4" w:rsidRDefault="00F0446B" w:rsidP="00F044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BD6EC4" w:rsidRPr="00354BC4" w:rsidRDefault="00F0446B" w:rsidP="00F0446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color w:val="000000"/>
        </w:rPr>
      </w:pPr>
      <w:r w:rsidRPr="00354BC4">
        <w:rPr>
          <w:rFonts w:ascii="Times New Roman" w:hAnsi="Times New Roman" w:cs="Times New Roman"/>
          <w:b/>
          <w:color w:val="000000"/>
        </w:rPr>
        <w:t>Ineligible</w:t>
      </w:r>
      <w:r w:rsidR="00BD6EC4" w:rsidRPr="00354BC4">
        <w:rPr>
          <w:rFonts w:ascii="Times New Roman" w:hAnsi="Times New Roman" w:cs="Times New Roman"/>
          <w:b/>
          <w:color w:val="000000"/>
        </w:rPr>
        <w:t>:</w:t>
      </w:r>
    </w:p>
    <w:p w:rsidR="00BD6EC4" w:rsidRPr="00354BC4" w:rsidRDefault="00BD6EC4" w:rsidP="00354BC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Refundable security and utility deposits; or</w:t>
      </w:r>
    </w:p>
    <w:p w:rsidR="00BD6EC4" w:rsidRPr="00354BC4" w:rsidRDefault="00BD6EC4" w:rsidP="00354BC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Interest on a loan to cover moving expenses; or</w:t>
      </w:r>
    </w:p>
    <w:p w:rsidR="00BD6EC4" w:rsidRPr="00354BC4" w:rsidRDefault="00BD6EC4" w:rsidP="00354BC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Personal injury; or</w:t>
      </w:r>
    </w:p>
    <w:p w:rsidR="00BD6EC4" w:rsidRPr="00354BC4" w:rsidRDefault="00BD6EC4" w:rsidP="00354BC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Any legal fee or other cost for preparing a claim for a relocation payment or for</w:t>
      </w:r>
      <w:r w:rsid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representing the claimant before the Agency; or</w:t>
      </w:r>
    </w:p>
    <w:p w:rsidR="00BD6EC4" w:rsidRPr="00354BC4" w:rsidRDefault="00BD6EC4" w:rsidP="00354BC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The cost of moving any structure or other real property improvement in which the</w:t>
      </w:r>
      <w:r w:rsidR="00354BC4">
        <w:rPr>
          <w:rFonts w:cs="Times New Roman"/>
          <w:color w:val="000000"/>
        </w:rPr>
        <w:t xml:space="preserve"> </w:t>
      </w:r>
      <w:r w:rsidR="00F0446B" w:rsidRPr="00354BC4">
        <w:rPr>
          <w:rFonts w:cs="Times New Roman"/>
          <w:color w:val="000000"/>
        </w:rPr>
        <w:t>d</w:t>
      </w:r>
      <w:r w:rsidRPr="00354BC4">
        <w:rPr>
          <w:rFonts w:cs="Times New Roman"/>
          <w:color w:val="000000"/>
        </w:rPr>
        <w:t>isplaced person reserved ownership; or</w:t>
      </w:r>
    </w:p>
    <w:p w:rsidR="00C01041" w:rsidRPr="00354BC4" w:rsidRDefault="00BD6EC4" w:rsidP="00354BC4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354BC4">
        <w:rPr>
          <w:rFonts w:cs="Times New Roman"/>
          <w:color w:val="000000"/>
        </w:rPr>
        <w:t>Costs for storage of personal property on real property owned or leased by the</w:t>
      </w:r>
      <w:r w:rsidR="00F0446B" w:rsidRPr="00354BC4">
        <w:rPr>
          <w:rFonts w:cs="Times New Roman"/>
          <w:color w:val="000000"/>
        </w:rPr>
        <w:t xml:space="preserve"> </w:t>
      </w:r>
      <w:r w:rsidRPr="00354BC4">
        <w:rPr>
          <w:rFonts w:cs="Times New Roman"/>
          <w:color w:val="000000"/>
        </w:rPr>
        <w:t>displaced person before the initiation of negotiations.</w:t>
      </w:r>
    </w:p>
    <w:sectPr w:rsidR="00C01041" w:rsidRPr="00354BC4" w:rsidSect="00A354CD">
      <w:headerReference w:type="default" r:id="rId10"/>
      <w:endnotePr>
        <w:numFmt w:val="decimal"/>
      </w:endnotePr>
      <w:pgSz w:w="12240" w:h="15840"/>
      <w:pgMar w:top="1440" w:right="1440" w:bottom="1440" w:left="1440" w:header="720" w:footer="2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C27" w:rsidRDefault="00CB7C27" w:rsidP="00CB7C27">
      <w:pPr>
        <w:spacing w:after="0" w:line="240" w:lineRule="auto"/>
      </w:pPr>
      <w:r>
        <w:separator/>
      </w:r>
    </w:p>
  </w:endnote>
  <w:endnote w:type="continuationSeparator" w:id="0">
    <w:p w:rsidR="00CB7C27" w:rsidRDefault="00CB7C27" w:rsidP="00C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C27" w:rsidRDefault="00CB7C27" w:rsidP="00CB7C27">
      <w:pPr>
        <w:spacing w:after="0" w:line="240" w:lineRule="auto"/>
      </w:pPr>
      <w:r>
        <w:separator/>
      </w:r>
    </w:p>
  </w:footnote>
  <w:footnote w:type="continuationSeparator" w:id="0">
    <w:p w:rsidR="00CB7C27" w:rsidRDefault="00CB7C27" w:rsidP="00C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EB" w:rsidRPr="00FB7BEB" w:rsidRDefault="00551D86" w:rsidP="00FB7BEB">
    <w:pPr>
      <w:pStyle w:val="Header"/>
      <w:jc w:val="right"/>
      <w:rPr>
        <w:rFonts w:ascii="Times New Roman" w:hAnsi="Times New Roman" w:cs="Times New Roman"/>
        <w:b/>
        <w:sz w:val="72"/>
        <w:szCs w:val="72"/>
      </w:rPr>
    </w:pPr>
    <w:r>
      <w:rPr>
        <w:rFonts w:ascii="Times New Roman" w:hAnsi="Times New Roman" w:cs="Times New Roman"/>
        <w:b/>
        <w:sz w:val="72"/>
        <w:szCs w:val="72"/>
      </w:rPr>
      <w:t>10-20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0BF9"/>
    <w:multiLevelType w:val="hybridMultilevel"/>
    <w:tmpl w:val="1A06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B29E1"/>
    <w:multiLevelType w:val="hybridMultilevel"/>
    <w:tmpl w:val="1A06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13EF"/>
    <w:multiLevelType w:val="hybridMultilevel"/>
    <w:tmpl w:val="CFFA1F44"/>
    <w:lvl w:ilvl="0" w:tplc="2138D96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32F77"/>
    <w:multiLevelType w:val="hybridMultilevel"/>
    <w:tmpl w:val="07C0C4CA"/>
    <w:lvl w:ilvl="0" w:tplc="0CAEC7D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BD214C"/>
    <w:multiLevelType w:val="multilevel"/>
    <w:tmpl w:val="2410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8D5D83"/>
    <w:multiLevelType w:val="multilevel"/>
    <w:tmpl w:val="47F4E55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Times New Roman" w:eastAsiaTheme="minorHAnsi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2"/>
  </w:num>
  <w:num w:numId="24">
    <w:abstractNumId w:val="5"/>
  </w:num>
  <w:num w:numId="25">
    <w:abstractNumId w:val="5"/>
  </w:num>
  <w:num w:numId="26">
    <w:abstractNumId w:val="2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01041"/>
    <w:rsid w:val="000005B5"/>
    <w:rsid w:val="00001F80"/>
    <w:rsid w:val="00016BF1"/>
    <w:rsid w:val="00017068"/>
    <w:rsid w:val="0002049C"/>
    <w:rsid w:val="00021A5B"/>
    <w:rsid w:val="00041978"/>
    <w:rsid w:val="0005611A"/>
    <w:rsid w:val="00077218"/>
    <w:rsid w:val="00083F8E"/>
    <w:rsid w:val="000A3A84"/>
    <w:rsid w:val="000A6039"/>
    <w:rsid w:val="000B3B5C"/>
    <w:rsid w:val="000B4DAA"/>
    <w:rsid w:val="000B573B"/>
    <w:rsid w:val="000E0157"/>
    <w:rsid w:val="000F1E4D"/>
    <w:rsid w:val="000F2786"/>
    <w:rsid w:val="000F3CA4"/>
    <w:rsid w:val="0010568E"/>
    <w:rsid w:val="00105A26"/>
    <w:rsid w:val="001167D3"/>
    <w:rsid w:val="0016288F"/>
    <w:rsid w:val="00163741"/>
    <w:rsid w:val="0016542B"/>
    <w:rsid w:val="001838F6"/>
    <w:rsid w:val="001A1BCE"/>
    <w:rsid w:val="001B381A"/>
    <w:rsid w:val="001C0B2C"/>
    <w:rsid w:val="001C2CB7"/>
    <w:rsid w:val="001C57C3"/>
    <w:rsid w:val="001F25D5"/>
    <w:rsid w:val="00207731"/>
    <w:rsid w:val="00214383"/>
    <w:rsid w:val="002148C6"/>
    <w:rsid w:val="00222C03"/>
    <w:rsid w:val="00225256"/>
    <w:rsid w:val="002971F1"/>
    <w:rsid w:val="002A6F34"/>
    <w:rsid w:val="002B2F7A"/>
    <w:rsid w:val="002C733E"/>
    <w:rsid w:val="002D2A0B"/>
    <w:rsid w:val="002E2B91"/>
    <w:rsid w:val="002E445B"/>
    <w:rsid w:val="002E73BD"/>
    <w:rsid w:val="00301942"/>
    <w:rsid w:val="0033302D"/>
    <w:rsid w:val="00347232"/>
    <w:rsid w:val="003544E6"/>
    <w:rsid w:val="00354BC4"/>
    <w:rsid w:val="003567B7"/>
    <w:rsid w:val="003761F9"/>
    <w:rsid w:val="00381012"/>
    <w:rsid w:val="003A0532"/>
    <w:rsid w:val="003C1E68"/>
    <w:rsid w:val="003E2EEC"/>
    <w:rsid w:val="003F182F"/>
    <w:rsid w:val="0040310B"/>
    <w:rsid w:val="0040337C"/>
    <w:rsid w:val="00417C40"/>
    <w:rsid w:val="00421D06"/>
    <w:rsid w:val="004233DB"/>
    <w:rsid w:val="00431F5B"/>
    <w:rsid w:val="00436EBC"/>
    <w:rsid w:val="00452E17"/>
    <w:rsid w:val="00453FA0"/>
    <w:rsid w:val="004827F8"/>
    <w:rsid w:val="00484AFA"/>
    <w:rsid w:val="00490D55"/>
    <w:rsid w:val="004B5EDF"/>
    <w:rsid w:val="004C5C7A"/>
    <w:rsid w:val="004D7D2C"/>
    <w:rsid w:val="004E1C29"/>
    <w:rsid w:val="00502B0C"/>
    <w:rsid w:val="0051652F"/>
    <w:rsid w:val="005365FF"/>
    <w:rsid w:val="00551D86"/>
    <w:rsid w:val="005619E4"/>
    <w:rsid w:val="00565188"/>
    <w:rsid w:val="005724F1"/>
    <w:rsid w:val="005868AD"/>
    <w:rsid w:val="00596D2D"/>
    <w:rsid w:val="005B37A8"/>
    <w:rsid w:val="005C1FB5"/>
    <w:rsid w:val="005C447D"/>
    <w:rsid w:val="005D0C90"/>
    <w:rsid w:val="005D2936"/>
    <w:rsid w:val="00610978"/>
    <w:rsid w:val="00615726"/>
    <w:rsid w:val="00626008"/>
    <w:rsid w:val="006338FF"/>
    <w:rsid w:val="0063402C"/>
    <w:rsid w:val="0064089A"/>
    <w:rsid w:val="00654E12"/>
    <w:rsid w:val="00655B96"/>
    <w:rsid w:val="00675C32"/>
    <w:rsid w:val="00677EDA"/>
    <w:rsid w:val="00695978"/>
    <w:rsid w:val="006A1DBA"/>
    <w:rsid w:val="006A455E"/>
    <w:rsid w:val="006A482B"/>
    <w:rsid w:val="006C1E6D"/>
    <w:rsid w:val="006E3CC3"/>
    <w:rsid w:val="006F5BE4"/>
    <w:rsid w:val="00715E26"/>
    <w:rsid w:val="00716527"/>
    <w:rsid w:val="00720C17"/>
    <w:rsid w:val="00744B8B"/>
    <w:rsid w:val="00752345"/>
    <w:rsid w:val="00757882"/>
    <w:rsid w:val="007673F8"/>
    <w:rsid w:val="00795817"/>
    <w:rsid w:val="007A2B3F"/>
    <w:rsid w:val="007A4867"/>
    <w:rsid w:val="007A4CA8"/>
    <w:rsid w:val="007A7A47"/>
    <w:rsid w:val="007F4ACA"/>
    <w:rsid w:val="00803907"/>
    <w:rsid w:val="00811827"/>
    <w:rsid w:val="00815A97"/>
    <w:rsid w:val="00824BE9"/>
    <w:rsid w:val="0085302A"/>
    <w:rsid w:val="00876D63"/>
    <w:rsid w:val="00897F67"/>
    <w:rsid w:val="008A528B"/>
    <w:rsid w:val="008C02C2"/>
    <w:rsid w:val="008D346F"/>
    <w:rsid w:val="008D70CD"/>
    <w:rsid w:val="008E55D9"/>
    <w:rsid w:val="0090049E"/>
    <w:rsid w:val="00904E4B"/>
    <w:rsid w:val="00917BDE"/>
    <w:rsid w:val="00937037"/>
    <w:rsid w:val="00945B33"/>
    <w:rsid w:val="00947749"/>
    <w:rsid w:val="009823FC"/>
    <w:rsid w:val="00986AB3"/>
    <w:rsid w:val="00993B17"/>
    <w:rsid w:val="009C74AF"/>
    <w:rsid w:val="009D3DF5"/>
    <w:rsid w:val="009D5A5E"/>
    <w:rsid w:val="009F020E"/>
    <w:rsid w:val="009F77A5"/>
    <w:rsid w:val="00A02992"/>
    <w:rsid w:val="00A34273"/>
    <w:rsid w:val="00A354CD"/>
    <w:rsid w:val="00A43A34"/>
    <w:rsid w:val="00A62E61"/>
    <w:rsid w:val="00A63E94"/>
    <w:rsid w:val="00A858A2"/>
    <w:rsid w:val="00AA1F34"/>
    <w:rsid w:val="00AB1538"/>
    <w:rsid w:val="00AB1970"/>
    <w:rsid w:val="00AC7EC5"/>
    <w:rsid w:val="00AF6BC6"/>
    <w:rsid w:val="00B258B6"/>
    <w:rsid w:val="00B31D93"/>
    <w:rsid w:val="00B615C4"/>
    <w:rsid w:val="00B624E8"/>
    <w:rsid w:val="00B720C6"/>
    <w:rsid w:val="00B72175"/>
    <w:rsid w:val="00B90861"/>
    <w:rsid w:val="00BC0745"/>
    <w:rsid w:val="00BD66C7"/>
    <w:rsid w:val="00BD6EC4"/>
    <w:rsid w:val="00C01041"/>
    <w:rsid w:val="00C05958"/>
    <w:rsid w:val="00C30CAF"/>
    <w:rsid w:val="00C34668"/>
    <w:rsid w:val="00C44543"/>
    <w:rsid w:val="00C87B15"/>
    <w:rsid w:val="00C908EA"/>
    <w:rsid w:val="00CB62F0"/>
    <w:rsid w:val="00CB7C27"/>
    <w:rsid w:val="00CC378E"/>
    <w:rsid w:val="00D0683E"/>
    <w:rsid w:val="00D20FF2"/>
    <w:rsid w:val="00D775C7"/>
    <w:rsid w:val="00D9712F"/>
    <w:rsid w:val="00DA3A19"/>
    <w:rsid w:val="00DD0785"/>
    <w:rsid w:val="00DD24ED"/>
    <w:rsid w:val="00E02D4F"/>
    <w:rsid w:val="00E153EF"/>
    <w:rsid w:val="00E259C5"/>
    <w:rsid w:val="00E25C82"/>
    <w:rsid w:val="00E3609E"/>
    <w:rsid w:val="00E500D2"/>
    <w:rsid w:val="00E85713"/>
    <w:rsid w:val="00EB20B6"/>
    <w:rsid w:val="00EC1069"/>
    <w:rsid w:val="00EF5909"/>
    <w:rsid w:val="00F00923"/>
    <w:rsid w:val="00F0446B"/>
    <w:rsid w:val="00F13E14"/>
    <w:rsid w:val="00F1781D"/>
    <w:rsid w:val="00F2460D"/>
    <w:rsid w:val="00F320AB"/>
    <w:rsid w:val="00F63032"/>
    <w:rsid w:val="00F66A5E"/>
    <w:rsid w:val="00F70111"/>
    <w:rsid w:val="00F70992"/>
    <w:rsid w:val="00F8409C"/>
    <w:rsid w:val="00F84EFD"/>
    <w:rsid w:val="00F925A9"/>
    <w:rsid w:val="00FA39A8"/>
    <w:rsid w:val="00FB5A8D"/>
    <w:rsid w:val="00FB5E7D"/>
    <w:rsid w:val="00FB7BEB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41"/>
    <w:rPr>
      <w:rFonts w:asciiTheme="minorHAnsi" w:hAnsiTheme="minorHAnsi"/>
    </w:rPr>
  </w:style>
  <w:style w:type="paragraph" w:styleId="Heading1">
    <w:name w:val="heading 1"/>
    <w:aliases w:val="CDBG ADMIN TOPIC 1"/>
    <w:basedOn w:val="Normal"/>
    <w:next w:val="Normal"/>
    <w:link w:val="Heading1Char"/>
    <w:uiPriority w:val="9"/>
    <w:qFormat/>
    <w:rsid w:val="007673F8"/>
    <w:pPr>
      <w:keepNext/>
      <w:keepLines/>
      <w:numPr>
        <w:numId w:val="39"/>
      </w:numPr>
      <w:spacing w:before="48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aliases w:val="CDBG TOPIC 2"/>
    <w:basedOn w:val="Normal"/>
    <w:next w:val="Normal"/>
    <w:link w:val="Heading2Char"/>
    <w:uiPriority w:val="9"/>
    <w:unhideWhenUsed/>
    <w:qFormat/>
    <w:rsid w:val="007673F8"/>
    <w:pPr>
      <w:keepNext/>
      <w:keepLines/>
      <w:numPr>
        <w:ilvl w:val="1"/>
        <w:numId w:val="39"/>
      </w:numPr>
      <w:spacing w:before="20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aliases w:val="CDBG TOPIC 3"/>
    <w:basedOn w:val="Normal"/>
    <w:next w:val="Normal"/>
    <w:link w:val="Heading3Char"/>
    <w:uiPriority w:val="9"/>
    <w:unhideWhenUsed/>
    <w:qFormat/>
    <w:rsid w:val="007673F8"/>
    <w:pPr>
      <w:keepNext/>
      <w:keepLines/>
      <w:numPr>
        <w:ilvl w:val="2"/>
        <w:numId w:val="39"/>
      </w:numPr>
      <w:spacing w:before="20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6"/>
    <w:pPr>
      <w:keepNext/>
      <w:keepLines/>
      <w:numPr>
        <w:ilvl w:val="3"/>
        <w:numId w:val="3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MHeading1">
    <w:name w:val="LTM Heading 1"/>
    <w:basedOn w:val="Heading1"/>
    <w:qFormat/>
    <w:rsid w:val="00C44543"/>
    <w:pPr>
      <w:keepLines w:val="0"/>
      <w:numPr>
        <w:numId w:val="0"/>
      </w:numPr>
      <w:tabs>
        <w:tab w:val="left" w:pos="720"/>
        <w:tab w:val="right" w:leader="dot" w:pos="9360"/>
      </w:tabs>
      <w:spacing w:before="0"/>
    </w:pPr>
    <w:rPr>
      <w:rFonts w:eastAsia="Times New Roman" w:cs="Arial"/>
      <w:color w:val="800000"/>
      <w:kern w:val="32"/>
      <w:szCs w:val="32"/>
    </w:rPr>
  </w:style>
  <w:style w:type="character" w:customStyle="1" w:styleId="Heading1Char">
    <w:name w:val="Heading 1 Char"/>
    <w:aliases w:val="CDBG ADMIN TOPIC 1 Char"/>
    <w:basedOn w:val="DefaultParagraphFont"/>
    <w:link w:val="Heading1"/>
    <w:uiPriority w:val="9"/>
    <w:rsid w:val="00AF6BC6"/>
    <w:rPr>
      <w:rFonts w:eastAsiaTheme="majorEastAsia" w:cstheme="majorBidi"/>
      <w:b/>
      <w:bCs/>
      <w:sz w:val="24"/>
      <w:szCs w:val="28"/>
    </w:rPr>
  </w:style>
  <w:style w:type="paragraph" w:customStyle="1" w:styleId="LTMHeading2">
    <w:name w:val="LTM Heading 2"/>
    <w:basedOn w:val="Heading2"/>
    <w:qFormat/>
    <w:rsid w:val="00C44543"/>
    <w:pPr>
      <w:keepLines w:val="0"/>
      <w:numPr>
        <w:ilvl w:val="0"/>
        <w:numId w:val="0"/>
      </w:numPr>
      <w:tabs>
        <w:tab w:val="left" w:pos="965"/>
        <w:tab w:val="right" w:leader="dot" w:pos="9360"/>
      </w:tabs>
      <w:spacing w:before="240" w:after="60"/>
    </w:pPr>
    <w:rPr>
      <w:rFonts w:eastAsia="Times New Roman" w:cs="Arial"/>
      <w:iCs/>
      <w:color w:val="800000"/>
      <w:sz w:val="28"/>
      <w:szCs w:val="28"/>
    </w:rPr>
  </w:style>
  <w:style w:type="character" w:customStyle="1" w:styleId="Heading2Char">
    <w:name w:val="Heading 2 Char"/>
    <w:aliases w:val="CDBG TOPIC 2 Char"/>
    <w:basedOn w:val="DefaultParagraphFont"/>
    <w:link w:val="Heading2"/>
    <w:uiPriority w:val="9"/>
    <w:rsid w:val="00AF6BC6"/>
    <w:rPr>
      <w:rFonts w:eastAsiaTheme="majorEastAsia" w:cstheme="majorBidi"/>
      <w:b/>
      <w:bCs/>
      <w:sz w:val="24"/>
      <w:szCs w:val="26"/>
    </w:rPr>
  </w:style>
  <w:style w:type="paragraph" w:customStyle="1" w:styleId="LTMHeading3">
    <w:name w:val="LTM Heading 3"/>
    <w:basedOn w:val="Heading3"/>
    <w:qFormat/>
    <w:rsid w:val="00C44543"/>
    <w:pPr>
      <w:keepLines w:val="0"/>
      <w:numPr>
        <w:ilvl w:val="0"/>
        <w:numId w:val="0"/>
      </w:numPr>
      <w:spacing w:before="240" w:after="60"/>
    </w:pPr>
    <w:rPr>
      <w:rFonts w:eastAsia="Calibri" w:cs="Arial"/>
      <w:color w:val="800000"/>
      <w:sz w:val="28"/>
      <w:szCs w:val="26"/>
    </w:rPr>
  </w:style>
  <w:style w:type="character" w:customStyle="1" w:styleId="Heading3Char">
    <w:name w:val="Heading 3 Char"/>
    <w:aliases w:val="CDBG TOPIC 3 Char"/>
    <w:basedOn w:val="DefaultParagraphFont"/>
    <w:link w:val="Heading3"/>
    <w:uiPriority w:val="9"/>
    <w:rsid w:val="00AF6BC6"/>
    <w:rPr>
      <w:rFonts w:eastAsiaTheme="majorEastAsia" w:cstheme="majorBidi"/>
      <w:b/>
      <w:bCs/>
      <w:sz w:val="24"/>
      <w:szCs w:val="20"/>
    </w:rPr>
  </w:style>
  <w:style w:type="paragraph" w:customStyle="1" w:styleId="LTMHeading4">
    <w:name w:val="LTM Heading 4"/>
    <w:basedOn w:val="Heading4"/>
    <w:qFormat/>
    <w:rsid w:val="00C44543"/>
    <w:pPr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8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DBGAdminSection">
    <w:name w:val="CDBG Admin Section"/>
    <w:basedOn w:val="Normal"/>
    <w:qFormat/>
    <w:rsid w:val="000005B5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26008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0104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01041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C01041"/>
  </w:style>
  <w:style w:type="paragraph" w:styleId="HTMLPreformatted">
    <w:name w:val="HTML Preformatted"/>
    <w:basedOn w:val="Normal"/>
    <w:link w:val="HTMLPreformattedChar"/>
    <w:rsid w:val="00C01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01041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B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EB"/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84477A-991F-4448-AFC0-1EF44346F941}"/>
</file>

<file path=customXml/itemProps2.xml><?xml version="1.0" encoding="utf-8"?>
<ds:datastoreItem xmlns:ds="http://schemas.openxmlformats.org/officeDocument/2006/customXml" ds:itemID="{C765D334-D690-469D-A890-A6D0B40E4199}"/>
</file>

<file path=customXml/itemProps3.xml><?xml version="1.0" encoding="utf-8"?>
<ds:datastoreItem xmlns:ds="http://schemas.openxmlformats.org/officeDocument/2006/customXml" ds:itemID="{2FC13DD5-FE5E-41BD-9AAC-4B98C92011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Group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Travelbee</dc:creator>
  <cp:keywords/>
  <dc:description/>
  <cp:lastModifiedBy>bgriffit</cp:lastModifiedBy>
  <cp:revision>3</cp:revision>
  <dcterms:created xsi:type="dcterms:W3CDTF">2010-02-10T17:13:00Z</dcterms:created>
  <dcterms:modified xsi:type="dcterms:W3CDTF">2010-02-10T18:20:00Z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